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 End Engineer with over 8 years of extensive experience in developing scalable web applications using a rich technology stack, including JavaScript, TypeScript, and React. Proven leadership in guiding teams toward achieving a shared vision within high-performance environments, focusing on security, user experience, and performance optimization. Expertise in CI/CD practices, team collaboration, and mentoring junior engineers while driving process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Platforms/Services: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Principles/Practices: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UI/UX Design Principles, Responsive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OAuth,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enhanced user interactions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layouts with a focus on accessibility standards,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Grid and Flexbox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marked increase in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 to enrich application functionalities while maintaining robust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leading to a 20% reduction in bugs during the QA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introducing developer documentation and knowledge-sharing sessions, highlighting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planning and retrospectives, focusing on aligning technical objectives with business goals while promoting Agile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relational database to support web application functionalities, optimizing complex queries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enhancements, achieving a 40% boost in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to accelerate product development times across various projects, enhancing resource management and consistency in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incident response for production issues, using debugging tools to ensure system stability, fostering a sense of urgency and focus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to adopt development best practices surrounding test automation and security, advocating for a secure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enhancing scalability and resource allocation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scalable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cross-functional teams to gather requirements and translate them into technical specifications for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maintaining code integrity and facilitating smooth collaboration among team members, including peer code reviews and merge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test coverage which directly led to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high-traffic application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usage and costs while ensuring fault tolerance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compatibility and ease of integration with various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initiatives using profiling tools and enhancing application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an exceptional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Agile team to build frontend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component-based architecture for easier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actively contributed to team discussions on improving development practices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application styling guidelines to ensure a cohesive look and feel,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pre-processing.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consume APIs and transform data into meaningful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application enhancements based on stakeholder feedback, leading to a 25% increase in user satisfaction scores as measured by surveys.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