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eight years of experience in software development, specializing in building scalable cloud solutions and integrating advanced software technologies. Adept at utilizing cutting-edge frameworks and programming languages, committed to leveraging technical skills for developing innovative applications that enhance user experiences and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Python,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WebSockets, Twilio,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based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scalability and maintainability across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release frequencies while decreasing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launched several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third-party integrations by 30% and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engagement through instant notifications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interfaces, enhancing the performance of web applications with a focus on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and scalability by integrating caching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developing secure, robust applications, fostering team growth and quality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define and prioritize product development roadmaps,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 making and new feature development based on user interaction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and querying, optimizing database performance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application testing, significantly lowering the production bug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clients’ requirements gathering sessions to propose innovative technology solutions that address unique business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services, enhancing application functionality and interoperability in line with evolving technology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new technologies and tools, empowering teams with the skills necessary to adapt and thrive amidst rapid technological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multi-tier application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architecture flexibility leading to a faster time-to-market for clients'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by developing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deployment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UIs for various client-facing applications, promoting an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optimizing bottlenecks that enhanced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integration in web applications, enabling real-time data synchronization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create functional specifications that aligned with user needs and company goals, ensuring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API integrations and design specifications to facilitate knowledge sharing and onboarding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industry best practices and coding standards through comprehensive code reviews and quality assessments.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maintenance and enhancements for existing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fidelity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sessions, applying Agile methodologies to streamline project workflows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deployment of applications in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operational excellence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iterate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functionality and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code repositories and foster collaborative development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issues, utilizing logging and monitoring tools to ensure prompt resolution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improving operational efficiency and freeing up resources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meetings discussing new technologies and trends to align technical capabilities with evolving client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