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designing and implementing robust enterprise applications. Proven ability to lead teams in delivering high-quality software solutions using modern frameworks and technologies. Committed to embracing innovative technologies that drive efficiency and performance across various business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Eclipse, IntelliJ IDEA,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CI/CD processes and deployment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data retrieval capabilities for clients, increasing user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responsible for migrating a legacy ASP.NET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projected cost savings of $200k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unit testing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streamline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multi-layer security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services, significantly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migrated critical data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setup, improving data access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dynamic reporting dashboards that improved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reduced technical debt by implementing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adapt and develop new features in collaboration with UX/UI designers, leading to insights that increased product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 responsiveness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bi-weekly team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increase in team efficiency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standards, review processes, and agile best practices to elevate team performance and support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enterprise-level solutions for various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times by 40% and maintaining high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and responsive designs that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database management skills by optimizing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database interactions,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on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project completion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reporting features and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analytics capability of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solutions in a fast-paced consulting environment by prioritizing customer needs and ensuring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stay up-to-date with industry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for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transforming legacy systems by rewriting key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help define user stories and acceptance criteria, facilitating a more streamlined project management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initiatives to gather business requirements, translating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customer-facing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high level of user satisfaction through improved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retrospectives, fostering a culture of continuous improvement and technical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consistent and rigorous testing of all application features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implemented optimization techniques using profiling tools to identify bottlenecks.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