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developing scalable applications utilizing a diverse technology stack, including robust knowledge in architecture design, cloud environments, and performance optimization. Prolific in leading software development life cycles, consistently focusing on delivering high-quality solutions that meet business needs. Proven ability to collaborate effectively in fast-paced environments and to adapt to new technologies swiftly.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Serverless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enterprise-grade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load times by 30% through optimized coding and architecture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workflows, enhancing deployment speed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build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legacy systems and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team, mentoring developers in best practices and ensuring adherence to coding standards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 Improved team productivity by conducting bi-weekly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services, improving data retrieval speeds by 40%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 that reduced infrastructure costs by 20% and improved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authentication for user login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that increased overall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manage application uptime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reproducible environments that facilitated faster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reviews, providing key insights that informed database design and application structure, resulting in a more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performance and cost reductions.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designing a GraphQL endpoint for efficient data querying, enhancing client-side performance and reducing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increasing test coverage to 95% and significantly reducing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full-stack application developments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scalability and maintainability of applications, alongside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version control to maintain efficient workflow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through index optimization and query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Shared knowledge on cloud best practices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improvements to enhance application durability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teams enhancing application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successful data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while maintaining data integrity and minimizing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automating backend processes, which resulted in a 15% productivity boost.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reusability across multiple projects and simplifying UI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new software features, resulting in comprehensive documentation to guide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ahead-of-schedule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 reliability and performance with zero critical bugs at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libraries contributing to application development efficiency, sharing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their integration with various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issues in existing production systems,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 endpoints and improve overall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updated technology stacks to ensure alignment with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