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experience in designing and implementing scalable web applications. Adept at leveraging a wide range of programming languages and frameworks to devise robust solutions tailored to client needs in the IT consulting sector. Proven ability to collaborate with cross-functional teams to deliver software projects on time and within budget. Passionate about enhancing user experience through code optimization and efficient architecture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Serverless, Agile, TDD,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responsive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effective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microservices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 to deploy applications, automate backups, and ensure high availability of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by 40% and enhancing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maintainability, achieving 90%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the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CSS preprocessors,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significantly speeding up data retrieval processes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actively to sprint planning, retrospectives, and daily stand-ups to synchronize team efforts and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architectural designs and application workflows in confluence, ensuring seamless knowledge transfer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data migration from monolithic to modern services, ensuring data integrity and minimal downtime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relationships with stakeholders to gather requirements, translating business needs into technical functionalities through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security such as SSL configuration, data encryption, and OAuth 2.0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its robust features to reduce development time and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high-volume transactions and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that met specific client requirements and enhanced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version control, enabling collaboration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Lambda for serverless architecture and API Gateway for endpoint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across devices, leading to a 15% increase in mobile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processes, ensuring adherence to coding standards and promoting best practices among peers.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operational efficiency and productivity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client projects involving web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project timelines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processes through manual testing and automated testing tools, ensuring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of applications, improving overall code quality and reducing regression bugs reported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 environments, contributing to the timely delivery of client solutions through effective communication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integrating third-party services to streamline workflows and provide enhanced functionalities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methodologies within the teams, improving project visibility and adaptability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technical solutions and project status updates to clients, fostering trust and ensuring alignment with their strategic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