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delivering performance-driven solutions in diverse industries, adept in leading cross-functional teams to innovate and enhance product architecture. Skilled in Creating seamless experiences using state-of-the-art technologies and frameworks, with a keen focus on optimizing backend systems and applications for maximum scalability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increasing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ensuring seamless data exchange, improving application efficiency by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CI/CD pipelines, accelerating deployment times by 40% and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infrastructure and implementing cost-saving measures that reduced operational expenses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the reliability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on-time project deliveries with a customer satisfaction rate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spin up environments, streamlining the development workflow and reducing setup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customer-facing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15%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JWT, improving security while providing seamless access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speeds and improving database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instilling best practices for software development and enhancing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health checks and performance metrics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responsiveness of web applications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frameworks, ensuring optimal functionality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 reporting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from real-time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integrations and reducing API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adherence to the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significantly reducing build times and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techniques, ensuring compliance with industry standards and safeguarding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setup, regularly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technology workshops, discussing best practices in software engineering and modern tooling to improve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workflows on multiple projects across various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interactions, enhancing system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UI/UX design discussions to optimize usability and aesthetic appeal,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mockups and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tasks, streamlining data processing workflows and reducing manual overheads.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smaller applications, ensuring efficient data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maintenance and upgrades by troubleshooting and resolving bugs, improving system stability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efforts leading to improved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weekly sprint reviews, presenting updates on project progress and future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