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consulting. Proven expertise in building scalable web applications, optimizing performance, and fostering collaborative team environments. Strong background in various programming languages and frameworks, with a commitment to continuous learning and leveraging cutting-edge technologies to solve complex engineering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Contentful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loading times through code optimization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 and enabling seamless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reduced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25% increase in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technical specifications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communication and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projects, enhancing type safety and reducing runtime errors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with high availability and disaster recovery capabilities, ensuring an uptime of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significantly elevating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project management, resulting in a 20% improvement in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and authorization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schema design, which reduced response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functionalities and customer experience, leading to a 15%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upgraded CMS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clients with dynamic content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for diverse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data-driven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client data analytics capabilities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(SDLC) for client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performance, achieving error-free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REST APIs for integration with client systems, utilizing industry standards to ensure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turnaround times for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expertise in designing robust software solutions to meet client specifications, emphasizing maintainability and extensibility.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management, consistently adapting to changing client needs and improving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enhancing functionality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traditional applications to the cloud,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improved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reviews, promoting best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including daily stand-ups and retrospectives, optimizing teamwork and project deliverability.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validation and verification processes for web applications,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 through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performance using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latency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of applications to resolve issues effectively, improving system stability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