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extensive experience in developing innovative solutions and optimizing performance across various platforms. Strong expertise in building AI-driven applications and implementing state-of-the-art technologies. Adept at leading teams and collaborating cross-functionally to drive project success and achieve strategic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C++,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TensorFlow,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DevOps, Machine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architect cloud-native applications, resulting in improved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to facilitate data access between front-end and back-end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production, improving predictive accuracy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leveraging indexing, which led to a 25% reduction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for handling application logic and scalability, promoting easier maintenance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 and retrospectives, improving team velocity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Co-authored technical documentation and API specifications for internal and external stakeholders, enhancing clarity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 solutions, increasing mobile user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Adjusted performance bottlenecks in production code, resulting in a 40% decrease in load times, enriching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issues and optimizing resource 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microservices for modular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deployment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containerized environments that improved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applications, enhancing availability and 99.9%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integration of code changes and reducing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and translate them into technical specifications for optimal user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UI functionality met user specifications pre-launch.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to enhance overall application speed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RESTful APIs to support mobile and web application functionalities, ensuring high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JWT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meetings to detail project specifications and milestones, ensuring alignment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documenting endpoint usage and ensuring comprehensive test cases for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DB admins to design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flexible data storage needs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legacy system upgrades by migrating to more stable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in enhancing system performance through effective debugging techniques and code refactoring.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share knowledge and address features for upcoming releases, enhancing collaboration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to end-users post-deployment, ensuring solution adoption and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