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full-stack development, specializing in scalable web applications and system integrations for IT consulting firms. Proven ability to leverage modern software development practices and a diverse tech stack to deliver high-quality, user-centric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by 20% through code refactoring and efficient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times and improving overall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internal applications, fostering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design and coding standards, enhancing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storage solutions, implementing best security practices and improving data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scalability and resource management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improving code quality and reducing technical debt, resulting in a 15% decrease in post-release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by optimizing database schemas and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in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application issues efficiently in production environments, maintaining 99.9% uptime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improved application load times by up to 50% through various strategies including asset compression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community-based code contributions, staying updated on industry trends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for long-term client partnerships.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dynamic, user-friendly designs that minimized onboarding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services, enhancing the functionality and capabilities of existing software solutions, leading to an increased customer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quality assurance processes, resulting in a 25% reduction in QA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project scope and timelines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for transaction-heavy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of applications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emphasizing the importance of clarity, quality, and adherence to best practices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workshops on emerging technologies and frameworks to inspire innovation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identity and access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design and optimal database schema for high 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 gathering through deployment and maintenance,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web applications, resolving issues swiftly to maintain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enhance user experience based on analytics and user feedback, focusing on conversion rate improvements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code integrity and facilitate collaboration across the development team, practicing feature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internal documentation for software processes and workflows to streamline onboarding for new engineers and improve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sessions, gathering feedback for iterative development and ensuring that solutions meet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