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robust applications using advanced technologies. Proven expertise in software architecture, maintaining high standard coding practices, and delivering scalable software solutions tailored to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rates by 30% across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functionalities and ensure secure client-server communications using JWT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gather requirements and present viable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alignment with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within the team, resulting in improved maintainability and readability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 into application performance,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seamless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suit specific customer needs, enhancing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data loss and high integrity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design patterns,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project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on-time project delivery against critical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transition on-prem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speed by 50%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databases and optimized queries, resulting in a 25% performance enhancement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 using best practices with minimal downtime and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technological processes for future reference and onboarding,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improve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identity management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implementations, increasing client security posture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IT operations, reducing response time to client requests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a branching strategy that improved the overall efficiency of code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current web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resolve client-side performance issues,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between legacy systems and modern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migration efforts by developing processes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data extraction and transformation.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business requirements by working closely with stakeholders to ensure software solutions align with organizational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