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over 8 years of diversified experience in software architecture and development focused on automotive diagnostics and technology solutions. Proven track record of leading complex IT consulting projects and driving innovation by leveraging modern technologies and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Flutter,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OAuth2, JWT, SSL/TLS,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contributing to a reduction in page load times by 40%. Used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robust RESTful APIs, ensuring high availability and performance for over 100,000 monthly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speeds by 60% and easing service maintenance through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features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protection across several applications while ensuring compliance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implementing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resulting in a 50% improvement in query performance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30% increase in project delivery speeds and a more adaptable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integration of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deployment efficiency by 75% through regular automated testing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solution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that scaled seamlessly during high-demand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coding standards and best practices, focusing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team coding practices and reduced code review feedback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behavior-driven development (BDD) practices using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raising the unit test coverage to 80%, which increased application reliability and reduced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frameworks like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mobile applications, enhancing user experience and functionality on both Android and iOS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migration strategies from monolithic to serverless architectures through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operational costs and increasing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implemented an analytics dashboard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insights that improved decision-making processes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RESTful APIs that provided seamless third-party integrations, increasing partnerships by 30% and enhancing system interoperability.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critical business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critical backend functionality and a streamlined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modeling and optimization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data retrieval and improved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define Software Development Life Cycle (SDLC) processes,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quicker iterations and responsiveness to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testing frameworks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across key modules and significantly improving software reliability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middleware components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API integrations, allowing seamless connectivity between various software solutions and reducing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 team of 5 in best practices for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code review efficiency, and reducing merge conflicts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interactive UI components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improved user engagement metrics linked to design uniformity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server infrastructure and configurations on </w:t>
      </w:r>
      <w:r w:rsidRPr="00C3688B">
        <w:rPr>
          <w:rFonts w:ascii="Arial" w:hAnsi="Arial" w:cs="Arial"/>
          <w:b/>
          <w:bCs/>
          <w:color w:val="424242" w:themeColor="text1" w:themeShade="BF"/>
          <w:sz w:val="20"/>
        </w:rPr>
        <w:t xml:space="preserve">DigitalOcean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cost-effective scaling strategies for client applications without compromising 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enterprise-level applications to modern technologies, including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performance and compatibility with newer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tasks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and dynamic interfaces that improved user engagement by over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efforts for identity management solutions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Single Sign-On (SSO) and Multi-Factor Authentication (MFA) protocols to enhance client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mentoring sessions for junior developers to raise coding standards and improve team productivity, emphasizing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software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system response times and user experience through backend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track changes in software, ensuring smooth collaboration and adherence to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design and implement user-facing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success of various client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with cloud service configurations that refined deployment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