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extensive experience in developing and deploying complex applications using cutting-edge technologies in the IT consulting field. Proven track record in leading high-impact projects with a focus on delivering robust solutions that enhance operational efficiency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MS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increased user engagement by 50%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RDS) to streamline application infrastructure, resulting in cost savings of 20% on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RESTful APIs that improved overall data retrieval speed by 40% while maintaining strict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reducing manual configuration errors during the deployment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days to hours, enhancing productivity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troubleshoot performance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improving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advanced concepts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improved application performance metrics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code quality improvement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cover 90% of the codebase, ensuring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system architecture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within applications to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plans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application architecture for critical projects, leveraging architect tools for visualization and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leading to a 30% decrease in server costs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in key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practices, including daily stand-ups and sprint planning, leading to improved team alignment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create stored procedures, enhancing data processing performance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teams to deliver user-friendly interfaces that adhered to branding guidelines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interns and junior staff, enhancing the skill level of the team and increasing project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that were crucial for client security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troubleshooting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logs, resolving incidents promptly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detailed project specifications and technical designs, ensuring clarity in vision and execution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technical insights during project inception phases,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advocated for best practices in coding standards,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elevated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 of concepts for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assessing their feasibility for upcoming projects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clients to gather feedback post-deployment and initiated iterative updates to enhance user experiences based on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knowledge bases and wikis, documenting processes and technologies used across various projects to streamline onboarding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