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 providing high-level expertise in software development, cloud technologies, and data architecture. Proven track record of delivering innovative solutions using contemporary tech stacks to meet client needs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microservices-based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integration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retrieval, resulting in a 30% reduction in client-side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cycle from days to hours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best practices, enhancing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25% decrease in mean time to recovery (MTTR) during application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efforts from monolithic to microservices architecture, improving application scalability and resilience for an enterprise-level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strategies, reducing operational costs by 15% while enhancing functionality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API authentication and data protection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synchronize efforts between cross-functional groups, enhancing project visibility and delivery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real-time analytics and reporting for business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35%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coverage and reducing regression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technical requirements and deliver tailored solutions, improving client satisfaction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functionality and performance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data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robust analytics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as code for the deployment of applications, leading to better scalability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ensuring high code quality across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backend services, improving application responsiveness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tools to create isolated environments for application testing and deployment,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facilitating project sprints and backlog discussions to ensure timely delivery of client solutions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 migration strategy from legacy systems to modern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API integrations to support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for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software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ensuring robust and reliable integrations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technical requirements and developed project scopes with clients, effectively translating needs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reporting outcomes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amongst development teams, enhancing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troubleshooting and debugging, employing analytical skills to identify and resolve issues in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