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developing and deploying innovative software solutions across diverse IT consulting firms. Proven expertise in a comprehensive tech stack including front-end and back-end technologies, with a strong emphasis on best practices in software engineering. Seeking to leverage a rich background in technology integration and a commitment to agile methodologies to drive impactful projects at Mozilla.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JSON, REST,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 and enhancing user engagement through a responsive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for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scaling in a cloud environment (AWS), enhancing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communication between front-end applications and back-end databases, reducing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enabling zero-downtime releases, significantly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conducting regular code reviews and mentorship sessions, leading to a 25% reduction in bug-related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actionable insights that improved system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query response times,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development practices through the adoption of coding conventions and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mechanisms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security protocols for sensitive information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refactoring legacy codebases into modern web frameworks, improving overall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user notifications, enabling seamless user experiences and consistent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web applications, achieving a 60% boost in application load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for cross-functional teams, ensuring alignment between business objectives and technical solutions resulting in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aggregation from multiple sources, enhancing the application's data-fetching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projects utilizing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modular UI components that were reusable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robust codebase with fewer regressions while promoting a culture of quality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reducing maintenance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transition from monolithic architecture to microservices, improving scalability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scripts for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consultation for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requirement discussions with stakeholders to define software functionalities, demonstrating a thorough understanding of client needs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sprint workloads, which enhanced team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user-focused features for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data access and user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implemented, and monitored user-friendly API integrations to enhance functionality within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pair programming sessions to conceptualize and build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interfaces for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testing using Selenium for automated functional testing, ensuring high-quality delivery for all releases while maintaining detailed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technical documentation for legacy systems to streamline handover processes and reduce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for emerging technologies in software development, including serverless architecture options and their potential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presentations to convey technical project updates using intermediate-level industry terminology while addressing technical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working environments and seamless code integrations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