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software engineer with extensive experience in developing solutions across various technologies and platforms. Adept at delivering high-quality applications using agile methodologies and ensuring compliance with industry standards, fostering innovation, and promoting collaboration among cross-functional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Spring Boot,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GraphQL, Redux, Figma,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complex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application performance across diverse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various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deployment and scalability of applications in a cloud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high-performance RESTful APIs that facilitated seamless integration between frontend applications and backend services, ensuring data accuracy and consistency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30% and improving code quality through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transform prototypes into responsive web applications, adhering to accessibility standards and ensuring cross-browser compatibility.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troubleshoot issues efficiently within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code standards, fostering a culture of innovation and continuous improvement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enhance code quality and promote best practices in software development throughout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development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facilitating more predictable and manageable infrastructure updates and extensions.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requirements for new features and improvements, translating business needs into technical specifications and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 mechanisms in key projects, ensuring data protection and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migration of legacy applications to modern stack architectures, improving performance and maintainability while reducing technical debt and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agile methodologies within teams to foster quick iterations, encourage collaboration, and enhance team productivity, delivering features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to create robust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RESTful APIs, ensuring efficient data interchange and integration between the backend and client-side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testing efficiency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significantly reducing the number of production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backlog grooming sessions, sprint planning, and retrospectives, effectively prioritizing key features based on client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data storage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queries to improve application performance and user experience, which resulted in a 25% increase in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deployment, streamlining release cycles and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to translate user stories into actionable tasks, ensuring the development of user-centric applications that meet market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develop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secure user sessions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legacy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documenting findings, and sharing resolutions with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workshops to enhance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frontend development tools, driving engagement and knowledge-sharing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Completed the development of a utility library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code reusability across multiple projects and reducing overall development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monolithic applications to microservices architecture, focusing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encapsulate services and enable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tasks and progress, ensuring timely completion of assignments and maintaining open communication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