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strong expertise in developing robust, scalable applications across various domains using a comprehensive tech stack. Proven track record in IT consulting environments, employing modern frameworks and tools to deliver high-quality software solutions. Adept at influencing product trajectories and collaborating with teams to drive continuous improvement while managing customer and stakeholder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TypeScript,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Serverless,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Terraform, Jenkins, Git,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Blockchain,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resilience, resulting in a 30% improvement in service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deployment time by 50% while maintaining high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enterprise-level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40%, integrating real-time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instant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iteratively improve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cloud-based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increasing user demand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posture of applications through rigorous code reviews and implementing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secured sensitive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existing systems and third-party APIs, which resulted in a 20% increase in data retrieval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programming practices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system performance tests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that improved load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observability, aiding in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infrastructure, enhancing scalability and reducing operational costs by 25%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 contributing to robust design practices and efficient coding standards, ensuring high-quality deliverables and alignment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technical specifications for applications to facilitate better onboarding processes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in data analysis features which increased predictive accuracy for user behavior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seamlessly interfacing with backend APIs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throughput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implementing data caching strategies that reduced response times notably.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UX design initiatives with product teams to ensure the delivery of user-centric solutions, contributing to a user satisfaction increase of 30% as reflected in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maintainability, achieving a 95% test coverage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bi-weekly sprint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tasks while ensuring adherence to project timelines and deliverables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legacy systems with new technologies through a series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backward compatibility for ongoing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through effective version control and branch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actionable software development plans,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for secure access controls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on-premise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data integrity and application performance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complex queries efficiently, providing a better developer experience for client-side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efforts in troubleshooting and debugging software issues through systematic code analysis and resource profiling techniques,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various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while managing project backlogs and sprints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continuous improvements in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critical workflows maintained operational functionality during releases, achieving a 98% success rate in pre-release testing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performance tuning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processing speeds significantly and supporting larger data volumes without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monitoring and optimization of system performance, leveraging analytics tools to identify bottlenecks and areas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