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specialized in building resilient blockchain-related applications. Proficient in various programming languages and frameworks, with solid expertise in decentralized applications and financial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Solidity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Gorilla,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Cassandra,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Cosmos SDK, Polkadot, Solana, Hyperledger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RESTful, WebSocket, gRPC, JSON-RPC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DDoS Protection, Firewalls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CI/CD, Pair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blockchain-based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smart contracts, ensuring high performance and security in decentralized finance (DeFi)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integration with front-end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increasing the release cycle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create a multi-tenant microservice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resource management, which improved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deployment on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monitoring and application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significantly reducing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leveraging Agile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project visibility and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reducing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blockchain transaction throughput by fine-tuning node settings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Cosmos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15% increase in user transaction volume.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enhancing team collaboration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blockchain-based applications to aid in future scalability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optimizing queries that lead to a significant decrease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 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DDoS Protection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sensitive user data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and server-side development, delivering feature-rich experiences to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schema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system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enhancing application capabilities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multiple client projects by developing reusable component libraries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development speed by reusing established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end-to-end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feature functionalities align with client requirements during various stages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translate them into technical specifications, fostering strong client relations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compliance with data regulations through thoughtful architecture planning and security techniques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authorizations.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and efficient web applications by coding extensively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projects with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branching strategies and merge conflict resolution, promoting cohesive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ensuring consistent environments across different deployment stages and facilitating easier transitions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RESTful APIs, which involved extensive testing and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sprints and retrospectives, applying Agile methodologies to effectively adapt to changing project requirements and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