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Engineer with over 8 years of progressive experience in IT consulting and software development. Adept at leveraging cutting-edge technologies to design and implement scalable solutions, driving efficiency and innovation across diverse projects. Proven history of collaboration in cross-functional teams, fulfilling the mission to empower organizations through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JavaScript, TypeScript,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Bootstrap,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Spring, RESTful APIs, GraphQL,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Postman, Figma, Tableau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modularity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responsive single-page application (SPA)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and performance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from hours to minutes while ensuring high-quality code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between frontend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query efficiency and reduced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transformation initiatives by facilitating Scrum ceremonies, improving project delivery timelines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web technologies and best coding practices,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reliability and code quality before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delivered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S3, EC2, and Lambda for enhanced scalability and reliability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analytics features that improved business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ensuring code quality and enabling a streamlined development workflow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user interfaces with a focus on accessibility and responsiveness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optimization of existing applications, reducing response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knowledge sharing and clarity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product releases that improved client retention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RESTful web services in a microservices environment, achieving a 25% reduction in API response time through effective backend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schemas and designed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efficiency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promoting high-quality code development and adherence to best practices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scalability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team collaboration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Agile practices, taking on the role of Scrum Master during sprints to ensure focus on quality and timely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emerging web technologies for junior developers, helping to elevate team capabilities and improve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improving team efficiency by roughly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them into technical specifications, ensuring successful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and identity management across multiple platforms, enhancing overall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modernize old web pages, achieving a more dynamic and responsive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debugging and troubleshooting efforts during deployment phases, significantly reducing the number of post-launch issues reported.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(UAT), gathering feedback to iterate on product designs which led to increased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cross-departmental meetings to align software solutions with business objectives, ultimately enhancing project relevance and impact.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reporting project success metrics and adjustments, providing insights into future development opportunities.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