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experience in IT consulting, specializing in developing scalable software solutions and architecting robust systems. Proficient in a diverse array of programming languages, frameworks, and technologies recognized for delivering high-quality projects on time and exceeding client expectations. Expert at collaborating with cross-functional teams to drive innovation and enhance system architecture while implementing best practices in software development and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C++,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availability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hours to minutes and ensuring a seamless integration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critical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performance by 30% through effective indexing and query structure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a cloud-based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robust performance monitoring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services, enhancing product functionality and user experience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technical debt and improving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executed performance testing scenarios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applications met expected load and stress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effectively contributing to sprint planning and retrospectives to continuously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intuitive user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technical specifications and architectural documentation to streamline project transitions and team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practices throughout the development process, utilizing best principles to protect sensitive data during application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adopted emerging technologies, leading to improved development efficiency and reduced operational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that served thousands of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cross-platform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user experience across web and mobile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facilitating consistent environments across development, testing, and production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infrastructure provisioning and configuration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practice in sprint planning and execution, enhancing team efficiencies and improving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development,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RESTful services, enabling seamless integration with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browser-based tools to resolve complex issues, improving application stability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feedback mechanisms to refine MVP release cycles, working closely with stakeholders to align functionalities with market demands.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security-driven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best practices in secure coding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architecture discussions, aligning technical strategies with organizational goals while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reliability of deployed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 data processing workflows, enhancing user access to critical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team-oriented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efficient collaboration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issues in legacy systems, providing creative solutions to enhance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software deployment cycles, ensuring seamless transitions from development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foster a culture of excellence and adherence to coding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