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Developer with expertise in designing, developing, and maintaining scalable software solutions. Proficient in both front-end and back-end technologies, with a strong focus on software architecture best practices and Agile methodologies.,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Kubernetes,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SAFe, Lean,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Cloud Architecture, Software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Framework, Redis, ElasticSearch, RabbitMQ,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scalability,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external service communication while implementing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(SAFe framework) within cross-functional teams, increasing collaboration and project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single-page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user-friendly interface and improving customer satisfaction level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architect highly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interfaces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page load times and improving user interaction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seamless data flow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database queries for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unit test coverage and reducing bug reports by 50%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manifold automation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enabling consistent updates and significantly reducing deployment times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serverless functions, decreasing server costs by 80% while maintaining excellent application performance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reducing the overall load on the back-end services, increasing the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from on-premises servers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resulting in a 60% reduction in overhead costs while increasing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scalable,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streamlining deployment processes and achieving faster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leveraging native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redundancy, ensuring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connections for real-time data syncing in applications, greatly enhancing user engagement and interaction in a collaborative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online payment system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security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resulting in fewer transaction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data integrity and application security standards per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application performance, implementing advanced lazy loading strategies that improved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various applications, facilitating easier testing and deployment processes within local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using indexing strategies and enhanced query structure for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ceremonies, enabling clear communication, active feedback, and alignment of project deliverables which led to enhanced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releases and reducing regression defects in production branches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 to improve system performance and reduce database load, achieving a 30% improvement in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improve security and user convenience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project life cycle for various software solutions, collaborating with stakeholders to gather requirements and devise actionable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data-driven applications focused on compliance and security requirements, improving audit success rates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monitoring and logging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detailed analytics and decreasing response times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creation of a dynamic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key performance indicators such as uptime and load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optimization and low latency in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and code reviews leveraging version control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 clean and efficient codebase.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