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innovative senior DevOps Architect with extensive experience in architecting solutions and driving technical innovation. Proven skills in leveraging cloud services, containerization, and CI/CD pipelines to deliver modern digital services. Seeking to contribute technical expertise and leadership to enhance federal digital services at Bixal.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DNS, HTTP,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Encryption, VPNs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deployment of infrastructure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cloud resource management,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development team’s delivery speed and reliability of applications through automatic builds and unit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resilient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scaling and management of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configuration management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provisioning and deployment processes, resulting in a significant decrease in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comprehensive visibility into system performance and proactively addressing issues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integrate application logging into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monitoring and troubleshooting abilities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quality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application performance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implemented best practices for application security, such as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roles and policies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scalable solutions for federal clients, aligning with mission-driven work to enhance digital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disaster recovery plans incorporating multi-region architectures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scripts that facilitate routine maintenance tasks, freeing up the engineering team for higher-priority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project management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projects aligned with client requirements and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tools to enhance the skills of junior engineers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improving data retrieval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reproducible build environments that streamlined development processes and reduced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instances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data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health checks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monitor application uptime and reliability across multiple hosted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technical decisions and align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quality assurance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to ensure consistent environments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engagement sessions to gather requirements and deliver tailored solutions that align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 generation processes through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executive visibility into project statuses.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cloud-based platforms (primarily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achieving 40% cost savings in infrastructure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for software applications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handling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mitigate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achieving high performance and scalability without compromising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enabling collaborative features like pull requests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contributed to sprint planning as part of an Agile development team, promoting transparency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the deployment process of web applications, minimizing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significantly, reducing load times by 20%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diverse tech stack discussions, assisting in the assessment of new technologies and tools to align with emerging trends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