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Architect with a proven track record in leading complex cloud infrastructure projects and fostering a culture of continuous improvement. Strong expertise in modern deployment and automation strategies, utilizing cutting-edge tools and technologies to enhance operational efficiencies and deliver impactful solutions. Passionate about collaboration and aligning technology with organizational goals to drive positive change.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IAM,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Service Meshes: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Istio, Linkerd, Consul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Hyper-V, KVM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including EC2, Lambda, and RDS, to optimize deployment processes and decrease system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best practices that led to a 50% increase in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code integration and enhancing deployment frequency from weekly to multiple times a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incident response time by 25% and increasing system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mitigating vulnerabilities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standardize environments across multiple cloud platforms, reducing configuration drift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optimize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best practices for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sets and increasing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key application metrics, facilitating proactive performance management and code quality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service mesh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enhanced service-to-service communication, security policies, and observability for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improving build quality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practices, establishing a branch management strategy that increased team collaboration and code review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runbooks for operational procedures, enhancing onboarding processes and reducing training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 and reduced delivery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server provisioning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configurations across multiple environments seamlessly and improving configuration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scalable infrastructure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setup time for new services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improvement in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fostering improved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implementations of monitoring solutions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log management and troubleshooting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capacity planning and optimization, leveraging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analyze performance bottlenecks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incident management process by implementing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response times and tracking of incidents.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software development teams in transitioning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enhancing system security by implementing identity and access management solutions that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 processing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shell scripts for automation of routine tasks, promoting efficiency and allowing team members to focus on higher-level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administering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virtual environments to support development and testing efforts, enhancing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system automation tools,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the importance of coding standards by conducting peer reviews and adopting best practices in code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configurations and updates to maintain transparency and continuity in operational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