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Controls Engineer with over 5 years of experience in the renewable energy and software sectors. Proven expertise in designing, implementing, and optimizing SCADA systems, Power Plant Controls, and Energy Management Systems while utilizing advanced technologies to ensure operational efficiency in clean energy assets. Skilled in working collaboratively with cross-functional teams to achieve customer objectives and deliver tailored solutions. Passionate about leveraging technical skills and industry best practices to contribute to a sustainable energy future.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Visual Basic, IEC-61131 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SCADA and Control Systems:</w:t>
      </w:r>
      <w:r w:rsidRPr="00C3688B">
        <w:rPr>
          <w:rFonts w:ascii="Arial" w:hAnsi="Arial" w:cs="Arial"/>
          <w:color w:val="424242" w:themeColor="text1" w:themeShade="BF"/>
          <w:sz w:val="20"/>
          <w:szCs w:val="20"/>
        </w:rPr>
        <w:t xml:space="preserve"> Inductive Automation’s Ignition, PowerManager, PowerTrack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Modbus, DNP3, OPC, IEC-60870, FTP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Virtualization:</w:t>
      </w:r>
      <w:r w:rsidRPr="00C3688B">
        <w:rPr>
          <w:rFonts w:ascii="Arial" w:hAnsi="Arial" w:cs="Arial"/>
          <w:color w:val="424242" w:themeColor="text1" w:themeShade="BF"/>
          <w:sz w:val="20"/>
          <w:szCs w:val="20"/>
        </w:rPr>
        <w:t xml:space="preserve"> industrial networking hardware, virtualization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Cybersecurity:</w:t>
      </w:r>
      <w:r w:rsidRPr="00C3688B">
        <w:rPr>
          <w:rFonts w:ascii="Arial" w:hAnsi="Arial" w:cs="Arial"/>
          <w:color w:val="424242" w:themeColor="text1" w:themeShade="BF"/>
          <w:sz w:val="20"/>
          <w:szCs w:val="20"/>
        </w:rPr>
        <w:t xml:space="preserve"> NERC-CIP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Implementation:</w:t>
      </w:r>
      <w:r w:rsidRPr="00C3688B">
        <w:rPr>
          <w:rFonts w:ascii="Arial" w:hAnsi="Arial" w:cs="Arial"/>
          <w:color w:val="424242" w:themeColor="text1" w:themeShade="BF"/>
          <w:sz w:val="20"/>
          <w:szCs w:val="20"/>
        </w:rPr>
        <w:t xml:space="preserve"> Bench Testing, FAT, SAT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Energy Systems:</w:t>
      </w:r>
      <w:r w:rsidRPr="00C3688B">
        <w:rPr>
          <w:rFonts w:ascii="Arial" w:hAnsi="Arial" w:cs="Arial"/>
          <w:color w:val="424242" w:themeColor="text1" w:themeShade="BF"/>
          <w:sz w:val="20"/>
          <w:szCs w:val="20"/>
        </w:rPr>
        <w:t xml:space="preserve"> Power Plant Control, Energy Management System, Data Acquisition Systems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SCADA systems using </w:t>
      </w:r>
      <w:r w:rsidRPr="00C3688B">
        <w:rPr>
          <w:rFonts w:ascii="Arial" w:hAnsi="Arial" w:cs="Arial"/>
          <w:b/>
          <w:color w:val="424242" w:themeColor="text1" w:themeShade="BF"/>
          <w:sz w:val="20"/>
          <w:szCs w:val="20"/>
        </w:rPr>
        <w:t xml:space="preserve">Inductive Automation’s Ignition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significantly enhancing operational visibility for multiple renewable energy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Power Plant Control (PPC)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enable effective management of operational variables and improve grid stability,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languages.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w:t>
      </w:r>
      <w:r w:rsidRPr="00C3688B">
        <w:rPr>
          <w:rFonts w:ascii="Arial" w:hAnsi="Arial" w:cs="Arial"/>
          <w:b/>
          <w:color w:val="424242" w:themeColor="text1" w:themeShade="BF"/>
          <w:sz w:val="20"/>
          <w:szCs w:val="20"/>
        </w:rPr>
        <w:t xml:space="preserve">Energy Management Systems (EMS)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Data Acquisition Systems (DAS)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both consumer and industrial renewable generation systems, ensuring compliance with technical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detailed system documentation and user training to both technical and non-technical stakeholders, enhancing overall usability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phases, including </w:t>
      </w:r>
      <w:r w:rsidRPr="00C3688B">
        <w:rPr>
          <w:rFonts w:ascii="Arial" w:hAnsi="Arial" w:cs="Arial"/>
          <w:b/>
          <w:color w:val="424242" w:themeColor="text1" w:themeShade="BF"/>
          <w:sz w:val="20"/>
          <w:szCs w:val="20"/>
        </w:rPr>
        <w:t xml:space="preserve">Bench Testing, FAT, and SAT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system performance and reliability prior to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identify, troubleshoot, and resolve technical issues with </w:t>
      </w:r>
      <w:r w:rsidRPr="00C3688B">
        <w:rPr>
          <w:rFonts w:ascii="Arial" w:hAnsi="Arial" w:cs="Arial"/>
          <w:b/>
          <w:color w:val="424242" w:themeColor="text1" w:themeShade="BF"/>
          <w:sz w:val="20"/>
          <w:szCs w:val="20"/>
        </w:rPr>
        <w:t xml:space="preserve">SCADA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 in collaboration with Field Service Teams, ensuring rapid response to critical operational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cybersecurity compliance with </w:t>
      </w:r>
      <w:r w:rsidRPr="00C3688B">
        <w:rPr>
          <w:rFonts w:ascii="Arial" w:hAnsi="Arial" w:cs="Arial"/>
          <w:b/>
          <w:color w:val="424242" w:themeColor="text1" w:themeShade="BF"/>
          <w:sz w:val="20"/>
          <w:szCs w:val="20"/>
        </w:rPr>
        <w:t xml:space="preserve">NERC-CIP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enhancing system security and data integrity across all deployed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reporting, facilitating real-time analytics and performance monitoring for renewable energy installations.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communication protocols such as </w:t>
      </w:r>
      <w:r w:rsidRPr="00C3688B">
        <w:rPr>
          <w:rFonts w:ascii="Arial" w:hAnsi="Arial" w:cs="Arial"/>
          <w:b/>
          <w:color w:val="424242" w:themeColor="text1" w:themeShade="BF"/>
          <w:sz w:val="20"/>
          <w:szCs w:val="20"/>
        </w:rPr>
        <w:t xml:space="preserve">Modbus, DNP3, and IEC-60870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interoperability between different energy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ownership of development efforts surrounding new features for </w:t>
      </w:r>
      <w:r w:rsidRPr="00C3688B">
        <w:rPr>
          <w:rFonts w:ascii="Arial" w:hAnsi="Arial" w:cs="Arial"/>
          <w:b/>
          <w:color w:val="424242" w:themeColor="text1" w:themeShade="BF"/>
          <w:sz w:val="20"/>
          <w:szCs w:val="20"/>
        </w:rPr>
        <w:t xml:space="preserve">PowerManager and PowerTrack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significant enhancements in functionality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engineering and sales teams to align customer goals with technical specifications during system design and preparation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pipelines effectively, using stakeholder feedback to refine processes and improve project outcomes, which led to a 20%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plant commissioning activities with strategic site visits, providing hands-on expertise and technical support during critical implementation phases to ensure project success.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customized control solutions for clients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performance and scalability of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w:t>
      </w:r>
      <w:r w:rsidRPr="00C3688B">
        <w:rPr>
          <w:rFonts w:ascii="Arial" w:hAnsi="Arial" w:cs="Arial"/>
          <w:b/>
          <w:bCs/>
          <w:color w:val="424242" w:themeColor="text1" w:themeShade="BF"/>
          <w:sz w:val="20"/>
        </w:rPr>
        <w:t xml:space="preserve">SCADA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that integrated seamlessly with existing client infrastructure, resulting in improved data collection and operational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systematic troubleshooting techniques for </w:t>
      </w:r>
      <w:r w:rsidRPr="00C3688B">
        <w:rPr>
          <w:rFonts w:ascii="Arial" w:hAnsi="Arial" w:cs="Arial"/>
          <w:b/>
          <w:bCs/>
          <w:color w:val="424242" w:themeColor="text1" w:themeShade="BF"/>
          <w:sz w:val="20"/>
        </w:rPr>
        <w:t xml:space="preserve">PI and PID loops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30% reduction in system faults across various installations.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training sessions aimed at enhancing client knowledge on system functionalities including </w:t>
      </w:r>
      <w:r w:rsidRPr="00C3688B">
        <w:rPr>
          <w:rFonts w:ascii="Arial" w:hAnsi="Arial" w:cs="Arial"/>
          <w:b/>
          <w:bCs/>
          <w:color w:val="424242" w:themeColor="text1" w:themeShade="BF"/>
          <w:sz w:val="20"/>
        </w:rPr>
        <w:t xml:space="preserve">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customer adoption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project reviews using </w:t>
      </w:r>
      <w:r w:rsidRPr="00C3688B">
        <w:rPr>
          <w:rFonts w:ascii="Arial" w:hAnsi="Arial" w:cs="Arial"/>
          <w:b/>
          <w:bCs/>
          <w:color w:val="424242" w:themeColor="text1" w:themeShade="BF"/>
          <w:sz w:val="20"/>
        </w:rPr>
        <w:t xml:space="preserve">FAT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SAT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mitigating risks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integration tests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verification, achieving high reliability in data handling solutions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comprehensive user documentation and technical manuals for </w:t>
      </w:r>
      <w:r w:rsidRPr="00C3688B">
        <w:rPr>
          <w:rFonts w:ascii="Arial" w:hAnsi="Arial" w:cs="Arial"/>
          <w:b/>
          <w:bCs/>
          <w:color w:val="424242" w:themeColor="text1" w:themeShade="BF"/>
          <w:sz w:val="20"/>
        </w:rPr>
        <w:t xml:space="preserve">Power Plant Controls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onboarding processes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upgrade of legacy systems to modern counterparts, employing </w:t>
      </w:r>
      <w:r w:rsidRPr="00C3688B">
        <w:rPr>
          <w:rFonts w:ascii="Arial" w:hAnsi="Arial" w:cs="Arial"/>
          <w:b/>
          <w:bCs/>
          <w:color w:val="424242" w:themeColor="text1" w:themeShade="BF"/>
          <w:sz w:val="20"/>
        </w:rPr>
        <w:t xml:space="preserve">visualization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interface and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the development of API integrations for external customer applications to support better connectivity and functionality with </w:t>
      </w:r>
      <w:r w:rsidRPr="00C3688B">
        <w:rPr>
          <w:rFonts w:ascii="Arial" w:hAnsi="Arial" w:cs="Arial"/>
          <w:b/>
          <w:bCs/>
          <w:color w:val="424242" w:themeColor="text1" w:themeShade="BF"/>
          <w:sz w:val="20"/>
        </w:rPr>
        <w:t xml:space="preserve">SCADA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troubleshooting and maintenance of existing energy solutions to ensure system integrity and performance under operational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older SCADA architectures to </w:t>
      </w:r>
      <w:r w:rsidRPr="00C3688B">
        <w:rPr>
          <w:rFonts w:ascii="Arial" w:hAnsi="Arial" w:cs="Arial"/>
          <w:b/>
          <w:bCs/>
          <w:color w:val="424242" w:themeColor="text1" w:themeShade="BF"/>
          <w:sz w:val="20"/>
        </w:rPr>
        <w:t xml:space="preserve">Inductive Automation’s Ignition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efficiencies by implementing modern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customer feedback and system performance metrics to continually refine system functionality and user interfaces in line with evolving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and execution initiatives for various renewable energy projects, impacting timelines and outcomes positively.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with clients to gather requirements and present technical solutions tailored to their specifications, enhancing the stakeholder engagement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project deliverables and timelines to align with corporate strategy, resulting in streamlined processes and improved overall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reporting frameworks leveraging data from </w:t>
      </w:r>
      <w:r w:rsidRPr="00C3688B">
        <w:rPr>
          <w:rFonts w:ascii="Arial" w:hAnsi="Arial" w:cs="Arial"/>
          <w:b/>
          <w:bCs/>
          <w:color w:val="424242" w:themeColor="text1" w:themeShade="BF"/>
          <w:sz w:val="20"/>
        </w:rPr>
        <w:t xml:space="preserve">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actionable insights for clients regarding energy consumption trends.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