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Cloud Engineer with over 8 years of experience in designing, deploying, and managing cloud solutions on platforms such as AWS, Azure, and GCP. Proven track record in optimizing performance and scalability of cloud infrastructures, implementing DevOps practices, and enhancing security compliance. Proficient in multi-cloud architectures and adept in leveraging automation tools to streamline operations and deliver high-quality solutions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CloudFormation,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CloudWatch,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IAM, VPC, Security Groups, Key Management Services, CIS Benchmarks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VPN, CIDR, NAT Gateway, API Gateway, Load Balancers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RESTful APIs, SOAP, GraphQL, WebSockets,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Tools:</w:t>
      </w:r>
      <w:r w:rsidRPr="00C3688B">
        <w:rPr>
          <w:rFonts w:ascii="Arial" w:hAnsi="Arial" w:cs="Arial"/>
          <w:color w:val="424242" w:themeColor="text1" w:themeShade="BF"/>
          <w:sz w:val="20"/>
          <w:szCs w:val="20"/>
        </w:rPr>
        <w:t xml:space="preserve"> JIRA, Confluence, Trello, Slack,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CI/CD, Infrastructure as Code, Scripting, Microservices, Distributed Systems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cloud architectures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high availability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through Infrastructure as Code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delivery of microservices applications across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cloud environments, including establishing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to restrict access and applying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ACLs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secure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and resolve performance bottlenecks in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CI/CD workflows, streamlining release processes and enhancing development efficiency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cloud-native architectures, resulting in a 30% reduction in infrastructure costs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cloud readiness assessments and provided strategic recommendations to optimize resource allocation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RESTful APIs, enabling seamless integration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governance frameworks for cloud operations, ensuring compliance with industry standards and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designing and implementing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caching and fast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logging and monitoring capabilities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response and root cause analysis efficacy.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cost management and optimization strategies, achieving significant budget savings while maintaining service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disaster recovery planning for cloud applications, ensuring data integrity and availability.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migration projects involving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system architecture improvements and compliance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frequency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templates to automate provisioning and deployment of cloud resources, minimizing human error.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integrate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efficient data querying and retrieval across distributed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security configurations across cloud environments, applying </w:t>
      </w:r>
      <w:r w:rsidRPr="00C3688B">
        <w:rPr>
          <w:rFonts w:ascii="Arial" w:hAnsi="Arial" w:cs="Arial"/>
          <w:b/>
          <w:bCs/>
          <w:color w:val="424242" w:themeColor="text1" w:themeShade="BF"/>
          <w:sz w:val="20"/>
        </w:rPr>
        <w:t xml:space="preserve">CIS Benchmarks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mitigate vulnerabilities and ensure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performance tuning and scaling strategies for applications hosted in the cloud, utilizing </w:t>
      </w:r>
      <w:r w:rsidRPr="00C3688B">
        <w:rPr>
          <w:rFonts w:ascii="Arial" w:hAnsi="Arial" w:cs="Arial"/>
          <w:b/>
          <w:bCs/>
          <w:color w:val="424242" w:themeColor="text1" w:themeShade="BF"/>
          <w:sz w:val="20"/>
        </w:rPr>
        <w:t xml:space="preserve">Load Balancers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auto-scaling groups.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and optimizing database systems, including both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accessibility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identity and access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user access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 software development initiatives,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and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develop microservices architectures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modularity and scaling of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