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proficient Senior Backend Engineer with over 8 years of experience in software engineering and a robust background in building innovative technology solutions, particularly for government and defense sectors. Expertise in developing scalable and secure backend services utilizing cutting-edge technologies, emphasizing operational efficiency and rigorous automation. Talented in mentoring junior engineers and collaborating with cross-functional teams to deliver exceptional software products that address complex challenges in space communications and national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OAuth2, gRPC, Microservices, RabbitMQ,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AWS IAM, CIS Benchmarking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highly resilient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 by 30% for satellite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service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scalability across multiple government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a secure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facilitating communication with external partners and services while ensuring compliance with federal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improving system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in-depth code reviews, particularly focusing on improving code maintainability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improved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cross-functional teams to gather requirements and designed scalable solutions that aligned with client needs, utilizing strong communication skills to advocate for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addressing performance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validation of APIs, ensuring minimal downtime and maintaining over 99.9% uptime for critical communications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security improvements in product design, contributing to the implementation of AWS IAM policies and compliance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Benchmarks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assurance across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to refine product features based on feedback, demonstrating a commitment to user-centric design principles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documentation for APIs to facilitate ease of use and integration for external developers and government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visibility for clients in government sectors by implementing RESTful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which led to a 40% reduction in load times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compliance in software packages deployed to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efforts to AWS, deploying legacy applications to cloud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nurturing inter-service communications efficiently in microservices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enhance team skills and share knowledge on best practices with newest technologies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monitoring and alerting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analysis of application performance, facilitating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that improved team understanding of legacy systems and aided in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of client portals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and interaction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measures across applications, safeguarding user data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strategy to move existing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providing insight on cost-effective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functionalities in a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improved data retrieval speeds by leveraging indexed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define functional requirements and user stories that shaped product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unit testing and system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culture of quality assurance and agile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deployment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to production deployment by 30% through improved automation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increase adoption rates of newly developed software products, aligning client needs with technical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