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Senior Backend Engineer with a robust background in designing and developing complex software systems utilizing modern technologies such as Elixir, PostgreSQL, and AWS. Proven ability to lead projects, mentor junior engineers, and design scalable APIs. Committed to leveraging deep technical expertise to drive innovation in remote operational capabilities.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Elixir, JavaScript,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GitHub, GitLab,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Next.js,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Postman, RSpec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microservices in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database layer, significantly enhancing application performance and scalability across multiple regions.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RESTful APIs and integrated third-party services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and higher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processes that reduced release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five junior engineers in best practices for functional programming in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code quality and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that algorithmically manage complex data sets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query times by 40% and improved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infrastructure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consistent environments and improved deployment times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develop and implement features in the company's core HR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maintain high code quality standards throughout the engineering team, promoting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insights into system performance and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refine application workflow, implementing feedback loops that enhanced user satisfaction and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efficient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compliance with the latest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performance tuning of applications post-deployment, resolving client issues swiftly to minimize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and implemented Agile methodologies within the engineering team, successfully streamlining workflows and improving project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applications, ensuring responsiveness and high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data retrieval times and overall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quality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refine CI/CD pipelines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more efficient deployment cycles and better version control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APIs for integration with mobile applications, contributing to increased user engagement and analytics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architecture reviews to ensure compliance with industry standards and best practices in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initiative to adopt containerization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development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insights to client stakeholders, enhancing project alignment with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services and data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cross-functional teams in the integration of new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user interfaces, ensuring a seamless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services to host and scale applications, utilizing S3 for storage solutions and EC2 for compute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initiatives that decreased application downtime by 25% through effective debugging techniques and performance tuning.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partners to elicit requirements and translate them into technical solutions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third-party service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providing valuable input for feature enhancement initiatives that responded directly to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preservation of legacy code while transitioning to a more modern environment, ensuring continuity and functional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detailed technical documentation for systems and interfaces, ensuring clarity and knowledge sharing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