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extensive experience in designing, building, and maintaining scalable backend services. Proven track record of developing high-performance systems, particularly in the blockchain and DeFi areas. Adept at collaborating with cross-functional teams, making impactful technical decisions, and enhancing engineering culture. Passionate about leveraging innovative technologies to solve complex challenges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Node.js,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Nginx,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for DeFi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in a blockchain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for liquid staking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Ethereum-based smart contracts to facilitate real-time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30% increase in deployment speed while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and smart contract developers to deliver full-stack units that enhanced user experience on blockchain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reducing API latency times by over 50%, which greatly improved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infrastructure provisioning and application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reviews, contributing to the engineering culture by advocating for effective design patterns and high-quality standards across the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telemetry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backend metrics, resulting in improved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a team of 10 engineers, fostering technical excellence and knowledge sharing in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blockchain community discussions, staying updated with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to improve performance, leveraging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data durability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architectural decisions for new features aimed at enhancing Ethereum network interactions,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within the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analytics to refine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Routinely analyzed system performance and identified bottlenecks, resolving issues promptly with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performance for diverse clients by implementing caching mechanisms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and frontend teams to deliver RESTful services that met client specifications and quality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of backend services, achieving over 90% test coverage before system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and maintaining applications and databases, improving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refactor a monolithic backend into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 and reducing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messaging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frameworks to streamline data processing and enhance responsiveness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agile methodology practices, participating in daily scrums and sprint reviews to drive efficiency in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features for client applications, focusing on performance optimization and security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create REST APIs, facilitating seamless user experiences for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upgrade of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control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performance data, informing subsequent development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efforts, ensuring clear guidelines and architecture designs were captured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 to enhance product features, utilizing data-driven insights and feedback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coding best practices and a high level of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