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Engineer with over 8 years of experience in designing, deploying, and maintaining high-performance systems. Specialized in blockchain applications and public APIs, progressively responsible roles in IT consulting firms, adept at leveraging advanced technologies to drive efficiency and scalability in backend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Rust, Python, Java, Node.js, C/C++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Docker, Kubernetes,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Hyperledger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Caching Strategies, Profiling Tools, API Rate Limiting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 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scalability for blockchain infrastructure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integrity and performance through efficient schema design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asynchronous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reducing response times for large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backend services, contributing to the development of liquid staking solutions and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and smart contract developers to ensure seamless integration of APIs and frontend interfaces, resulting in a 30% reduction in feature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engineering culture by establishing best practices in code quality, deployment strategies, and Jira project management, promoting a lean and agile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 to optimize backend service performance, significantly reducing latency for real-time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profiling and load testing of backend systems,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handle increased user traffic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technical leverage initiatives, influencing architectural decisions and promoting scalable design patterns across the tech stack on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architectures, API specifications, and deployment processes, ensuring transparency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improving the security posture of public-facing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team retrospectives, contributing to continuous improvement discussions related to code quality, system architecture, and team collaboration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optimal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and implementing indexing strategies for faster data access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third-party APIs, building custom integration solutions that enhanced service offerings and provided additional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visibility into application performance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 to foster a culture of quality and continuous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process using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S3 for storage and EC2 for computing resources, ensuring high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 to discuss challenges and improvements based on project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for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before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modular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API testing and documentation, ensuring that services were easily consumable by internal and external stakeholders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multiple software dependencies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were built with the most stable versions of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performance bottlenecks by analyzing system logs and metrics, presenting findings to management and implementing necessary adjustments to infrastructure and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requirements, clarify project features, and provide technical expertise, ensuring alignment between expectations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agile development methodologies, participating in daily standups and sprint planning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talents, contributing to training sessions and knowledge transfer initiatives to enhance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procedures, workflows, and technical specifications to aid in project continuity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