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Backend Engineer with over 8 years of experience in designing, implementing, and maintaining backend infrastructures that support critical business operations. Deep expertise in Ruby on Rails and Go, coupled with a strong focus on clean coding standards, system reliability, and performance optimization. Proficient in collaborating with cross-functional teams to deliver innovative technology solutions in a fast-paced environment, leveraged a diverse skill set across various tools and frameworks to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Go,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Express.js,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Microservices,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design, implementation, and optimization of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lifecycle management of key duplication kiosks.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REST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handling and reduced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of production issues within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leading to a 50% increase in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transition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hardware engineers and quality assurance, to establish robust data flow processes for kiosk software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TDD and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quality, significantly reducing the occurrence of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critical reporting needs, improving query performance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system issues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architecture discussions, advocating for best practices in security and data integrity across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developing features for the AI-driven merchandising system, enhancing user engagement with advanced algorithm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adapting approaches based on feedback, which led to incremental improvements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conducting code reviews and providing constructive feedback on implementation methodologies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detailed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better understanding and integration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processing for kiosk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maintainability and scalability across dozens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projects utilizing Agile methodologies, improving delivery timelines by 25% through streamlined sprint processes and effective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various microservices, achieving seamless interaction across different parts of the application ecosystem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the deployment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and reliable releases of backend services to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collaborative projects, ensuring code integrity and facilitating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system assessments and performance analysis, leading to the optimizations of data storage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query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align backend development with user experience, ensuring a comprehensive deployment of new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software framework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protection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phase of new web applications, focusing on backend components to ensure seamless integration with front-end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architectures, specifically transitioning key workflows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production incidents within a diverse range of environments, amplifying reliability through proactive troubleshooting and remediation.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development and integrations, allowing for expanded functionality and improved client satisfaction through robust service connections.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scaling strategies that enhanced application performance under high-load scenarios,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caching and search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facilitated knowledge-sharing sessions and discussions on emerging technology trends and best practices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