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Backend Engineer with over 8 years of experience in developing robust applications and services in high-stakes environments. Expert in Python and cloud architecture, adept at delivering innovative solutions with a focus on critical infrastructure and collaborative team dynamics. Ready to contribute to Dispel's mission of securing industrial control systems and enhancing cybersecurity protocols for various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NextJS, ExpressJS, Vitest, Jest,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Zitadel, Zanzibar (FGA)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NX, Sentry,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E2E testing,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Networking, Feature flags, Release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secure API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of backend services and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transaction systems, achieving a performance gain of 40%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which decreased database load and improved application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review on API design for new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industry best practices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asynchronous task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responsiveness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code coverage to 90% across various services,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production issues, leading to a reduction in critical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engineers in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development practices to foster a team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define, design, and ship new features, successfully translating client requirements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end-to-end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release quality, ensuring seamless feature deployment and user satisfaction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documentation for all backend processes and APIs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onboarding and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 flags utilizing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allowed for smoother beta testing processes and user feedback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deployments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improving the speed of integration processes and reducing the error margin on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fulfilling security requirements for application data in compliance with various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while ensuring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API endpoints for better performance and reliability, using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migrations and data analysis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data handling and retrieval processes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team by providing RESTful APIs and optimized database queries, effectively bridging client needs with backend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Agile ceremonies, offering technical insights to shape product delivery sprints in line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QA processes for application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API responses aligned with service 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customer onboarding and support during application rollouts, leveraging in-depth technical knowledge to resolve issues quickly and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develop and maintain secure applications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contributing to workload assessments and estimation activities to prioritize user stories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functional testing, employing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standard operating procedures for system integrations, ensuring compliance and uniformity in methodology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infrastructure as code (IAC)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resource allocations and deployment processes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projects by delivering backend solutions tailored to client specifications, focusing on scalability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and facilitated transitions to modern tech stacks, ensuring minimal disruption to client operations while adopting better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