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specializing in cloud-native architectures, microservices, and data pipelines in regulated sectors including health-tech. Proven track record of delivering high-performance applications by leveraging a deep understanding of secure coding practices, database management, and system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TypeScript,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GitHub Actions,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DevSecOps,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Observability, Logging, Caching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throughput and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Deployed, configured, and monitored services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optimizing application deployment and increasing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backward compatibility, maintaining seamless integration for over 100 mobile and web applications that utilize these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achieving a 30% reduction in execution time on critical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compliance initiatives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into workflow processes, ensuring all services meet stringent security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observability practices by implementing distributed tracing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migrations and implemented replica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validation strategies to maintain API data integrity between microservices during version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programming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and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feature-flagging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for experimental features, allowing for rapid iterations and safe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code reviews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identify vulnerabilities and ensure application resilience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third-party vendor solutions for observability and secret management, leading proofs of concept to identify best fit for organizational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within a microservices architecture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reliability for high-traffic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backup and disaster recovery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and availability of critical data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the service architecture, streamlining the development and deployment process while enhancing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API requirements and technical roadmaps, delivering clear specifications for frontend and mobile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focusing on performance and user experience while ensuring robust version control for backward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ensure compliance with industry standards, focusing on security and data privacy concerns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monitoring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impacting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to facilitate data sharing and integration with third-party services, expanding system capabilities and improving consumer reach.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feature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 and data privacy standards during API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collaborating closely with UX/UI designers to translate business requirements into technical specifications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ensuring data accuracy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training initiatives, applying knowledge of regulatory requirements to ensure designed systems adhered to strict policies regarding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strategies, fostering collaboration and reducing merge conflicts in code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migrating legacy systems to cloud-native architectures, focusing on scalability and improved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code reviews to enforce coding standards and improve code quality across the engineering team, leveraging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processes to facilitate knowledge sharing and maintain compliance with auditing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