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engineer skilled in developing ultra-reliable, high-performance services and infrastructure for large-scale applications. Expertise in asynchronous messaging, event-driven architecture, and backend systems optimized for high availability. Proficient in Java and Kotlin, with a strong background in cloud-native technologies and systems design that support millions of users daily.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Go, Python,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DynamoDB,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DevOps/Infrastructure: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Asynchronous Messaging,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AWS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Pulsar, Redis, RabbitMQ,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cloud-based platform processing billions of requests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across a microservices architecture, identifying bottlenecks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service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faster deployment time for new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influence technical direction and support feature development by implementing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service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asynchronous messaging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Pulsar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event-driven processing across multiple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establishing best practices and coding standards which reduced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enhance system observability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logging of operational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solutions for scheduling recurring jobs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operational workflows for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backend development and architectural design principles, promoting knowledge sharing and technical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third-party services for customer engagement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delivery and transactional emails, achieving a 99.9% delivery success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sharded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implementing performance optimizations that allowed for seamless operations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transition of legacy systems to cloud-native solutions, focusing on improving scalability and flexibility within the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a fintech solution, enhancing payment processing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design and implementation of a microservices architecture which increased the service availability to 99.99%, minimizing system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orchestrations to facilitate portable, scalable service deployments and streamlined CI/CD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complex issues across distributed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aggregation and error tracking, which improved response time for incident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define system architecture, focusing on integration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increase in data retrieval speeds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with cross-functional teams to deliver high-quality software products aligned with business objectives.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 notification system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reliable message queueing, supporting real-time communication for transactional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identity and access management platform, enhancing security protocols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define integration points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functionality that enhanced user experience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efforts on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load handling, supporting a growing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 components to a cloud-based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disaster recovery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administration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ensuring data integrity and optimized storage solutions for customer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CI/CD pipelines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 and deployment processes, promoting rapid iteration and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debt reduction projects by refactoring legacy codebases into clean, maintainable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code, guided by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