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engineer with over 8 years of expertise in full-stack development, specializing in Node.js and blockchain technologies. Proven track record of architecting scalable systems and leading cross-functional teams in high-stakes environments. Committed to leveraging innovative solutions to enhance operational efficiency and deliver outstanding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JavaScript, TypeScript, Python, Web3.js,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Hyperledger, Solidity, Smart Contracts, Decentralized Applications (dApps)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Jest,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blockchain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transaction security and transparency within decentralized applications (dApps).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efficient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by 25% through optimized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comprehensive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and GraphQL services to facilitate seamless communication between microservices, continuously improving API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achieving over 90% code coverage and a significant reduction in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translate business requirements into technical specifications, ensuring alignment with customer needs and development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high system integrity through proactive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resolving performance bottlenecks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and analyze feedback, adapting solutions to meet their evolving requirements while aligning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to protect user data, utilizing encryption techniques and adherence to best practices for secure API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fostering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improving application functionality and user engagement through strategic partnerships.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RESTful APIs, facilitating connectivity between frontend and backend applications, achieving a 35% increase in user engagement through faster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deliver reliable and scalable solutions, optimizing existing codebase practices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updates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deployments, ensuring data integrity and consistency during schema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simplifying the deployment processes across diverse environments and ensuring uniformity.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metrics, identifying critical issues before they affected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methodologies, contributing actively to sprint planning and daily stand-ups to encourage project momentum and enhance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backend systems handled peak loads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guidance on the implementation of best coding practices within the team, significantly reducing technical debt and improving code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enterprise-level API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third-party integrations and increasing system capabilities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project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smart contract development, enhancing transaction execution environments and reducing costs associated with manual interventions.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backend services with fewer regressions over project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processes to understand user requirements, translating them into technical specifications for implementation,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question management systems, thereby improving application speed by 40% and optimizing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server-side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Lambda to implement a highly available service architecture, having a direct impact on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GitHub best practices for enhanced collaborative development efforts, forging stronger team cohesion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Continually updated technical documentation and best practices to ensure knowledge transfer within the team and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