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extensive expertise in building and maintaining complex applications across various platforms. Proven ability to leverage advanced technologies to deliver high-quality solutions that align with business objectives. Exceptional problem-solver with a strong background in agile methodologies, team collaboration, and delivering client-focused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gRPC, Service Mesh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client-facing application, streamlining data flow and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from a monolithic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the rollback rate by 20%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the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40% increase in processing speed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application features, enabling functionalities like payment processing and notification services, which improved the overall user engagement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 dynamic web portal, enhancing the user experience through improved responsiveness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project delivery and alignment with client requirements, meeting deadlines on 95%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testing efficiency and reducing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from on-premise servers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costs and improving system availability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environments in multiple stages of the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 and overall application performance, achieving a 50%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richly interactive tabbed interface, improving user satisfaction scores in feedback surveys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setting up metrics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insights into application performance and quicker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maintained architecture decision records, facilitating knowledge sharing within the team and aligning with strategic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web application, implementing various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user experience with rich client-side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performance bottlenecks and achieving a load time reduction of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services and integrated them with front-end technologies, enabling seamless data access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JQuery and AJAX for asynchronous web applications, leading to improved user interaction by allowing real-time updates without page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aiming for quality improvement and adherence to key coding standards and practices, fostering a culture of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clients to gather requirements, translating them into technical specifications and guiding architecture decisions that align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the software development lifecycle and updates for project deliverables to ensure clarity and traceability.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and contributed to sprint planning and retrospective meetings, facilitating a continuous improvement mindset.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initial setup for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service to interface with a legacy database, enabling migration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high code coverage rates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sessions, reinforcing collaborative development practices while enhancing overall code quality and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processes, addressing key issues and maintaining application stability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automation of data migration processes, ensuring data integrity and consistency during migration to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an internal tool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task automation and reducing manual workload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understand business requirements and assist in transforming them into technical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