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.NET Engineer with over 8 years of experience in software development, specializing in high-load microservice architecture, backend solutions, and complex business logic implementations. Proven track record in modernizing legacy systems and enhancing digital platforms to improve user engagement and operational efficiency. Passionate about leveraging cutting-edge technologies and methodologies to tackle real-world challenges, particularly in the social discovery and entertainment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Frameworks:</w:t>
      </w:r>
      <w:r w:rsidRPr="00C3688B">
        <w:rPr>
          <w:rFonts w:ascii="Arial" w:hAnsi="Arial" w:cs="Arial"/>
          <w:color w:val="424242" w:themeColor="text1" w:themeShade="BF"/>
          <w:sz w:val="20"/>
          <w:szCs w:val="20"/>
        </w:rPr>
        <w:t xml:space="preserve"> C#, ASP.NET Core, Coldfusion,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NoSQL, Entity Framework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RabbitMQ, Kafka, Azure Service Bus, ActiveMQ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Microservices Architecture, Agile Development, CI/CD, RESTful APIs,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Azure DevOps, Docker, Kubernetes,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Environments:</w:t>
      </w:r>
      <w:r w:rsidRPr="00C3688B">
        <w:rPr>
          <w:rFonts w:ascii="Arial" w:hAnsi="Arial" w:cs="Arial"/>
          <w:color w:val="424242" w:themeColor="text1" w:themeShade="BF"/>
          <w:sz w:val="20"/>
          <w:szCs w:val="20"/>
        </w:rPr>
        <w:t xml:space="preserve"> Visual Studio, Git, JIRA,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HTML5, CSS3, Bootstrap, Swagger,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a </w:t>
      </w:r>
      <w:r w:rsidRPr="00C3688B">
        <w:rPr>
          <w:rFonts w:ascii="Arial" w:hAnsi="Arial" w:cs="Arial"/>
          <w:b/>
          <w:color w:val="424242" w:themeColor="text1" w:themeShade="BF"/>
          <w:sz w:val="20"/>
          <w:szCs w:val="20"/>
        </w:rPr>
        <w:t xml:space="preserve">ColdFusion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monolith to a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enhancing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high-load backend services for social discovery applications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requirements analysis and designed technical solutions that improved deployment efficiency by 35%,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with frontend applications, improving response times by 50% through optimized query handling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proof of concepts for migrating legacy systems to cloud infrastructure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cost reduction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reviews, providing mentorship to junior developers, which resulted in a 40% increase in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 and ensuring higher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facilitating seamless deployment of services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data models utilizing both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and design, ensuring that business needs were met effectively through technical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refactoring on existing services, adopting best practices for scalability and maintainability in core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messaging solutions between asynchronous services, enhancing the overall responsiveness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regular workshops and training for peers in adopting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best practices,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technical processes and systems, ensuring knowledge transfer and ease of maintenance.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user-friendly interfaces and engaging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existing systems to cloud platforms,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effectively for better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performing complex queries and optimizing performance for client-specific projects within strict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ensuring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design discussions, providing insights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backend development best practices to enhance overall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code libraries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speed of future projects and maintenance of existing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to enhance application capabilities, ensuring compliance with standard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containerization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development environment setup time by approximately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authentication and authorization protocols to protect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and execute test plans, utilizing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optimal application quality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 code, refactoring to improve system resilience and accommodate new features without compromising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software requirements and translate them into technical specifications for development teams,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review sessions to evaluate code quality and software integrity, contributing to a culture of continuous improvement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and responsive designs that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ensuring that all integrations functioned as expected prior to deployment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on-call support to resolve application-related issues, demonstrating problem-solving skills in high-pressure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