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a robust background in Site Reliability Engineering, cloud infrastructure management, and automated deployment best practices. Proven ability to lead complex system migrations and enhance platform resilience while ensuring optimal service reliability. Committed to driving technological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Terraform,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Splunk, ELK Stack,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Python, Bash, Ansible, Terraform,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Docker, Helm,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HTTP/HTTPS, Load Balancing, HAProxy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VPN, Firewall Management, SSL/TLS, Kubernetes RBAC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Agile Tools:</w:t>
      </w:r>
      <w:r w:rsidRPr="00C3688B">
        <w:rPr>
          <w:rFonts w:ascii="Arial" w:hAnsi="Arial" w:cs="Arial"/>
          <w:color w:val="424242" w:themeColor="text1" w:themeShade="BF"/>
          <w:sz w:val="20"/>
          <w:szCs w:val="20"/>
        </w:rPr>
        <w:t xml:space="preserve"> JIRA, Confluence, Slack, Trello,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large-scale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leading to a 30% reduction in provisioning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uptime metrics and enhancing incident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deployment failures by 40% and expedited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reduced overhead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routine maintenance tasks, increasing team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disaster recovery solutions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zero downtime during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performance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proposing schema changes that reduced query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deploying applications consistently across environments and simplifying management administration.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a comprehensive logging system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analysis and significantly enhancing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performance tuning of network configurations using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HTTP/HTTPS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effectively allocating resources under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security protocols that included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 to enforce compliance and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sprints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agile workflows, improving project visibility and goal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exhaustive documentation of system architectures and incident response plans, facilitating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for infrastructure-related decisions, ensuring alignment with industry standards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seamless integration of code changes, enhancing deployment reliability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automating setup processes for both test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monitoring dashboards with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proactively alerted teams to system anomalies, increasing response time to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for clients focused on high availability and resilience using </w:t>
      </w:r>
      <w:r w:rsidRPr="00C3688B">
        <w:rPr>
          <w:rFonts w:ascii="Arial" w:hAnsi="Arial" w:cs="Arial"/>
          <w:b/>
          <w:bCs/>
          <w:color w:val="424242" w:themeColor="text1" w:themeShade="BF"/>
          <w:sz w:val="20"/>
        </w:rPr>
        <w:t xml:space="preserve">HAProxy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load balancers, achieving SLAs in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in defining infrastructure requirements on cloud platforms like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business needs into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audits of existing network infrastructure and applications, following best practices in </w:t>
      </w:r>
      <w:r w:rsidRPr="00C3688B">
        <w:rPr>
          <w:rFonts w:ascii="Arial" w:hAnsi="Arial" w:cs="Arial"/>
          <w:b/>
          <w:bCs/>
          <w:color w:val="424242" w:themeColor="text1" w:themeShade="BF"/>
          <w:sz w:val="20"/>
        </w:rPr>
        <w:t xml:space="preserve">Firewall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for junior engineers covering core concepts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team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administrators to optimize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leading to improved data access speeds and reduced latency.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agile development environment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milestones and managing product backlogs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migrations from legacy systems to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client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support documentation and operational procedures for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deployments to ensure repeatability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application monitoring strategies, leveraging tools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management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security measures, ensuring compliance with organizational security policies and enhancing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a data migration project from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streamlined data access pattern and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regular health checks of applications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ensuring compartments were always functioning optimally.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teams to develop a series of test cases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guaranteeing enhancing service robustness prior to production release.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