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driven senior-level React developer with extensive experience in front-end development and AI search technologies. Proven track record of improving user experiences through robust application design and resolution of complex technical issues. Passionate about collaborating with cross-functional teams to enhance system performance and optimize search functionalities, adept at translating user feedback into actionable solutions. Dedicated to continuous learning and professional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HTML5, CSS3, JavaScript, TypeScript,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.NET, C#, SQL, NoSQL,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Azure Cognitive Search, AI search tools, Vector 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Problem-solving, Analytical thinking, Interpersonal communication, Cross-functional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user feedback analysis functions resulting in a 25% increase in search accuracy,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IT teams to troubleshoot and resolve technical issues, applying strong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user-testing sessions to provide actionable insights into the AI search tools, ensuring alignment with non-technical business users’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modular front-end 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scalability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experience design,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Cognitive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capabilities, enhancing the relevance of search results through advanced indexing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ensuring smooth communication between developers and stakeholders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85% and increasing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system for identifying and triaging user prompts, leveraging analytical skills to classify issues related to data or system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cross-border collaborative projects with remote teams,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 and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engagement data to propose enhancements, directly influencing product direction and increasing user retention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the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 and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hybrid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enhanced user experience and improved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robust troubleshooting for back-end systems through extensive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resolving issues in real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wireframes into functional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aligning with design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with stakeholders, utilizing Agile methodologies and contributing to user stories and acceptance criteria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agile testing frameworks to ensure application reliability,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RESTful APIs, enhancing back-end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Express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initiative to optimize search indexing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search response times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platform enhancements for user authentication, leading to reduced login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implement a suite of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quality of production-level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cross-functional teams to define project scope, timelines, and deliverables using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projects focusing on client needs and project timelines, building relationship management skills across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staff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solutions, promoting organizational development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