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Developer with over 8 years of extensive experience in crafting responsive, scalable web applications. Adept in utilizing state-of-the-art technologies, frameworks, and methodologies to deliver high-quality user experiences and optimized performance in alignment with business goals. Proven expertise in collaborating with cross-functional teams and leading complex projects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CSS, HTML5,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MongoDB,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Tailwind CSS,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efficiently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 for high 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in multiple applications, optimizing data fetching processes and enhancing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build user interfaces that adhere to UX/UI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components, maintaining over 90% test coverage and ensuring the robustness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building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setting up RESTful APIs, providing seamless integration of frontend and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code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and code optimization strategies,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to improve code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HTTP requests, broadening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actively contributing to sprint planning, daily stand-ups, and retrospectives to ensure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scalability and maintaining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performance bottlenecks using profiling tools, leading to a 30% reduction in load times and improved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business needs into actionable technical designs and achieving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wikis, ensuring knowledge retention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architectures to improve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reliable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reusability and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resulting in decreased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a monolithic architecture to a microservices approach, improving system resilience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UX design discussions, using principles from human-computer interaction to guide application development and improve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source code audits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 tools, significantly enhancing deployment processes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refactor legacy codebases, implementing improved coding practices and performance tuning.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documentation for application interfaces, ensuring clear guidelines for API consumption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attending daily stand-ups and iterating on user feedback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adherence to best practices and supported peer developers in their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engagement with intuitive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troubleshoot and analyze application bugs, leading to resolution and overall product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productivity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junior developers, fostering skill development and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