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over 7 years of experience specializing in building responsive, WCAG 2.1 compliant web applications using React. Proven ability to lead projects from conception to implementation while ensuring multi-language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SASS,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Axios, Jest, React Testing Library,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JIRA, Figma,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Responsiveness, Cross-Browser Compatibility,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overhaul of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multi-language capability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i18next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application’s usability for non-English speakers.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 to interact with backend services, ensuring robust data handling and application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replicate existing application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interface consistency and usability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high-quality standards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tests, resulting in a 30%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manageable styling in the React ecosystem, leading to a more cohesive visual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meetings with stakeholders to gather requirements and feedback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the development processes and set up onboarding guidelines for new developers, promoting a culture of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by rigorously testing on multiple browsers and platforms, ensuring uniform functionality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development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continuously refining process efficiencies and working closely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security and compliance regulations throughout the development process, particularly in sensitive contexts like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 libraries, leading to faster development cycles and cohesive brand implementation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adapt to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and event handling in legacy code environments while phasing in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project code quality and stability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create intuitive, user-friendly UI elements that align with project specifications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on existing platforms by revamping interfaces in compliance with SEO standards, leading to a measurable increase in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to add functionalities to existing applications, ensuring users could benefit from the latest advancements in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monolithic architectures to microservices, streamlining processes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define effective integration procedures and implement APIs that meet operational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focusing on achieving high levels of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user stories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stakeholders regarding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Scrum-based environment, collaborating with cross-functional teams to deliver end-to-end solutions on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all stages of the software development lifecycle, from requirements gathering to deployment in cloud environments,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visual appeal while maintaining robust performance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best practices for committing code with clear messages and descriptive comments.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bottlenecks in user flow and interface design, leveraging user feedback to adapt interfaces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coding guidelines and documentation standards, promoting efficient coding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