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Full Stack Engineer with over 8 years of experience in developing robust web applications, specializing in Ruby on Rails and React. Proven ability to lead teams in delivering high-quality code and efficient solutions in a fast-paced, agile environment, focused on logistics and technology integration. Strong experience in building scalable applications and optimizing performance using modern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Express,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Optimization, Load Balancing, Security Best Practices, Test Automation,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jQuery, Sass, Webpack,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logistics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delivering scalable solutions that addressed complex freight logistics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to enhance application functionality, focusing on real-time data processing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quality, reducing the defect rate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enhancing the application's scalability and reliability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through refactoring, resulting in a 20% improvement in application performance metrics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for storage solutions, achieving a 25% reduction in operational costs associated with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Jenkins and GitHub Actions, facilitating seamless code deployment and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and ensuring adherence to coding standards and architecture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throughout the application lifecycle, resulting in zero security breaches during the operational period.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business needs into technical specifications, ensuring alignment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to cover new application features, ensuring robust applications that meet acceptance criteria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redesign application UI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 and increased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JavaScript frameworks, enhancing user experience for clients in the logistics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conduct daily stand-ups, sprint planning, and retrospectives, streamlining project workflows and improving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Postgres databases, implementing complex SQL queries to optimize data retrieval and processing, reducing query execution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tuning of applications by using profiling tools and monitoring application metrics to ensure maximum uptime and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accessibility and mobile-first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external service providers to broaden application functionalities, improving customer satisfaction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mentored junior team members on testing practices and code optimization techniques, contributing to overall team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strategies on AWS, leveraging services like S3 and EC2 for hosting and data storage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functionalities and improve website responsiveness, resulting in a 20% improvement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application APIs and technical specifications used by development teams and external partners, ensuring best practices are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legacy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transitions to updated frameworks and achieving high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improve team productivity, participating in regular sprints and delivering key features that increased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