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extensive experience in Ruby on Rails and React, bringing over 8 years of robust development skills and a proven track record of delivering innovative solutions in high-stakes, mission-critical environments. Highly adept at collaborating with cross-functional teams to enhance logistics platforms through data-driven insights and real-time technology advancements. Committed to quality engineering, leveraging testing automation and peer reviews, and skilled in optimizing application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Enzyme, Capybara,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Microservices,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AI, Security Best Practices, Application Performance Monitoring, User Experience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logistics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time-sensitive shipments,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and engineering teams to develop innovative solutions that streamline logistics operations,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to ensure system scalability and reliability,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microservices-based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enhance application speed and performance, resulting in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rapid deployment and testing of applications,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to minimize regressions, achieving 95% code coverage across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ensuring seamless communication between front-end and back-end systems while applying security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to plan sprints and deliver increments of software, ensuring alignment with business objectives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predict shipment arrival times, improving logistics efficiency and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significant decrease in response time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intuitive and user-friendly interactions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security audits and threat modeling to safeguard application infrastructure from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knowledge-sharing initiative by documenting architectural patterns and development standards for team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web architectures to support client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collect requirements and create impactful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component-based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modern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increased performance and user adoption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third-party APIs, enhancing application functionality and user engagement through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deploying applications and managing databases, ensuring high availability and robust disaster recovery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including sprint planning, retrospectives, and daily stand-ups, improving team efficiency and product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through unit testing and behavior-driven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fewer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iteratively improve functionality, adapting to changing requirements rapidly.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protocols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compliance with company policies and industry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and develop features for a dynamic web-based identity management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systems and identified performance bottlenecks through the use of profiling tools, contributing to improved system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and presentations, communicating technical concepts with clarity to non-technical stakeholders during project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enhancing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integrity during updates and team contributions, fostering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