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developing and maintaining complex applications in Python and Django, complemented by strong expertise in frontend technologies, particularly React. Skilled in building secure, scalable applications with a focus on compliance standards. Proven history of delivering robust backend services while optimizing performance and ensuring adherence to best practices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RESTful APIs, PostgreSQL,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Query,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AWS Lambda,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FISMA, CMMC, security best practices, compliance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AWS CloudWatch,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collaborative development,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schema design, indexing,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cloud deployment,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for a cloud security platform, directly aligning with FedRAMP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enhancing user engagement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frontend services with third-party applications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optimization, employing indexing and schema design techniques to enhance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EC2, RDS, and S3 to ensure scalable and efficient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to comply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CMMC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processing of sensitive data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application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translate requirements into technical specifications, employing Agile methodologies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to streamline application deployment and versioning, improving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understanding of compliance and security measures in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which significantly reduced response times, achieving operational excellence by addressing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collaboration among teams and ensuring code quality standards are met across all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strategies, including unit and integration tests, ensuring high reliability of delivered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features for enterprise clients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designs to improve user experience while maintaining a focus 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optimized queries and schema adjustments to support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RDS for database management and EC2 instances for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consistent development and production environments, ensuring application portability and ease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 integration, improving connectivity and data interchange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teamwork to define project requirements, translating business needs into technical solutions leveraging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and contribute to continuous integration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frontend teams to enhance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 times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 to fetch real-time analytics, thereby improving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implement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infrastructures, enhancing operational capabilities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teams to understand data flow and application performance, streamlining operational functionalities across multiple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reviews and audits to align development with compliance standards, fostering a culture of security awareness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