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backend and frontend development. Proven expertise in Python, Django, React, and cloud technologies, particularly in compliance-focused environments. Demonstrated success in building secure applications that meet regulatory standards, including FedRAMP and FISMA, while optimizing performance and scalability in AWS cloud infrastructures.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React 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AWS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FedRAMP, FISMA, CMMC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CircleCI,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suite of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API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responsive design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storage solutions, focusing on schema design and query optimization resulting in a 40% decrease in data retrieval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EC2, RDS, and Lambda, ensuring optimal performance and scalability to meet fluctuating customer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development process and enabling seamless deployment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accelerating the deployment frequency while maintaining high-quality standards through automated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compliance measures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secure data handling and storage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specifications for high-impact projects, providing technical insight to enhance workflow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application performance monitoring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 improvements in system uptime and error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integrations with third-party services, enhancing operational capabilities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software troubleshooting efforts to resolve critical production issues, utilizing advanced debugging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planning, retrospectives, and daily stand-ups to foster team collaboration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codebases, APIs, and system architectures to improve onboarding processes and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team growth and encouraging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for data privacy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frontend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state management solutions that improved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database schemas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speeds and efficiency in transactional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AWS deployments, including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storage solutions to enhance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collaboration and code management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integration with external APIs to expand application functionalities and improve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feedback to team members, promoting code quality and adherence to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troubleshooting application issues, employing analytical skills to enhance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FISMA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increase in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data management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effective data handling and retrieval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cloud-based solutions by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project management methodologies, facilitating regular updates and iterations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between various software components, enhancing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training sessions to promote knowledge sharing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elevate overall team expertise.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monitoring and optimization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application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