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developing robust applications using Java, Spring Boot, and Angular. Proven track record in collaborating with cross-functional teams, driving Agile methodologies, and delivering high-quality software solutions to meet mission-critical needs in federal development efforts. Strong capabilities in building and maintaining secure applications with a keen focus on functionality, performance,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JUnit, Eclipse,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process efficiency and user experience for federal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refactoring legacy applications to utilize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and business analysts to implement user-friendly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ensuring compliance with government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testing, and effective Agile methodologies, raising overall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daily stand-ups, sprint planning, and retrospectives to ensure effective project management and delivery within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for integration with third-party services and front-end applications, increasing application flexibility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application issues in production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resolution rate on first attempts.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technical documentation for software applications, enhancing knowledge sharing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build automation, ensuring accurate management of dependencies and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cloud-native architectures to improve scalability and reduce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efforts by profiling applications and identifying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 tools, achieving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independent deployment of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into the development lifecycle to ensure applications are compliant with federal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customer-facing applications, improving user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consume REST APIs effectively, ensuring seamless data flow and functionality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including daily stand-ups and sprint reviews to enhance team communication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performed test-driven development (TDD)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robustness of delivered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architecture planning and design discussions, contributing to better alignment of technical solutions with client requirements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repositories, ensuring disciplined collaborative coding practices and version history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bugs and implementing fixes, achieving a 30% reduction in reported issues over a 6-month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libraries to promote code reuse and reduce development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 to enhance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learning through participation in coding workshops and professional development sessions, particularly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developed prototypes for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presented findings to stakeholders for feedback and potential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client meetings to gather requirements and provide technical expertise on possible solutions, improving client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communicated software architecture and design decisions to key stakeholders, fostering transparency and understanding in project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embracing effective querying strategies to optimize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guided junior developers in understanding best practices for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middleware technologies, strengthening overall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deployments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enabling automated scaling and management of containerized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