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extensive experience in leading technical innovation, mentoring diverse development teams, and driving product ownership in multi-cloud environments. Adept at utilizing modern best practices in software design and architecture to deliver scalable and reliable SaaS cloud-based solutions, with a strong focus on CI/CD methodologies, microservices, and container orchestration.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S3,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React, Angular, Hibernate,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Jenkins,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Cypress, Pytest, SonarQube,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OpenTelemetry,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OpenID, Snyk, Rapid7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BDD,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 Design, Continuous Improvement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 availability and resilience in cloud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architect on the redesign of legacy systems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environments and ensuring consistency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self-healing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Mean Time to Recovery (MTTR)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Agile teams through all phases of the software development lifecycle,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code quality and reduce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regular deployment frequency while maintaining robust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event-driven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processing through latency-sensitive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patterns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skilled and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pair-programming sessions that enhanced team collaboration and knowledge sharing, especially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cross-functional sessions to gather requirements, resulting in clearer project scopes and more targeted product features in line with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APIs conforming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high-level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sensitive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including GitHub Copilot, improving code efficiency and reducing unnecessary repetitive tasks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modernization of systems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led to an upsurge in operational efficiency and deployment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workshops on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team to stay ahead of industry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scalable integration with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manageability.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interactions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automate testing and deployment, which improved release cycles by reducing manual errors and providing immediate feedback to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efficiency gains of over 20% in several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Agile methodologies, which enhanced team productivity and lauded successful project completions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system performance, facilitating prompt responses to emerging issues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to gather requirements effectively and produce detailed system specifications, leading to successful deployments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web-based security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identity management and access policy enforcement.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accessibility and engagement through intuitive designs and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provide additional functionalities in applications, respecting industry standards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solutions to cloud services, emphasizing efficient resource allocation and fiscal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meetings, providing input on scaling strategies and improvements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comprehensive workflow that improved project collaboration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that detailed system architecture, ensuring future teams could maintain and understand the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on best coding practices, resulting in a transfer of knowledge and promoting adherence to security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