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scalable software solutions within the finance and investment technology sectors. Proven expertise in modern service-oriented architectures and design patterns, particularly with an emphasis on trading technologies, process automation, and data-driven decision making. Committed to leveraging cutting-edge technologies to drive project success and enhance the robustness of investment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Automation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Methodology,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trading application, enhancing user experience and reducing latency by 30% through optimized component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for trading data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and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leading to a 40% increase in deployment efficiency. 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SQL queries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a significant reduction in data access times for high-frequency trading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client-server interactions, enabling rapid feature development and reduced response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bolstering code reliability during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storage and analytics capabilities, achieving a scalable architecture that supported extensive daily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solutions to stakeholders on the impact of implemented software innovations on trading strategies, refining business processes and aligning technology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for a team of 10 engineers, ensuring adherence to best practices and improved software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requirements for new trading features and enhancements, ensuring alignment with market expectations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decouple application components, which increased system scalability and reduced operational risks due to independent deployability.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Addressed performance bottlenecks in key system components using profiling tools, leading to a notable 20% decrease in execution time across critical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provide insights and recommendations for cloud and on-premises deployments, aligning technology roadmaps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robust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automating financial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APIs to integrate third-party data sources with internal systems, enhancing system interoperability and data accuracy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analytics, supporting decision-making processes for some of the firm’s key investment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improved time-to-market for new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streamlined workflows to ensure deployment readiness, achieving significant reductions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end-users to gather requirements and implemented enhancements based on feedback, which improved user satisfaction scores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code management and collaborative development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implementation of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analytics, staying ahead of industry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streamline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high-traffic web applications, focusing on responsiveness and dynamic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and identity protocols to ensure compliance with organizational policies while enhancing user experience without compromising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applications, identifying bottlenecks using APM tools to improve response times and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during strategic planning sessions, contributing technical insights to align business objectives with technological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improving scalability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troubleshooting for deployed software, ensuring high availability and user satisfaction through timely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architecture designs for new projects, aiding in the onboarding and knowledge transfer to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