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with a strong focus on building responsive and scalable applications using cutting-edge technologies. Proven track record of mentoring teams and delivering high-quality user experiences, particularly in fast-paced and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HTML5, CSS3, JavaScript ES6,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Enzyme, Sass, PostCSS,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Performance Tuning,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 and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Frameworks, Accessibility (a11y)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single-page applications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(SSR)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SEO and faster load times across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high-fidelity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and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bundle size by 25% and improving asset loading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enhancing team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a coverage rate of over 90% in key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modifications that reduced load times to under 2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for multiple projects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branching strategies and continuous integration practices for streamlined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the onboarding process for new developers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error handling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consistency across applications and collaborating more effectively with front-end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on best practices for responsive design, resulting in improved user engagement metrics by ensuring cross-device compatibility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media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modern JavaScript practices and the fundamentals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technical debt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various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interaction through real-time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migrations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feature parity and minimal disruption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prioritize critical resources during initial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CSS development, promoting maintainability and scalability within the stylesheets.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establish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application architecture and service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utility libraries to abstract common functions across multiple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syntax for better code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including sprint planning and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progress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sessions to gather feedback on UI changes, integrating findings into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rapid iteration.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software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blogs on front-end trends and best practices, particularly engaging audiences with content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optimization tips.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in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in business applications, increasing data insights accessibility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ensure application quality through manual and automated testing approaches,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user experience across devices during client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community forums regarding best practices in software development, particularly in relation to front-end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about modern development tools and techniques to increase overall team competency in emerging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