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Backend Engineer with over 8 years of experience designing and developing robust backend systems for high-throughput, low-latency financial applications. Proficient in evolving compliance-driven architectures focused on real-time performance, utilizing a diverse tech stack to deliver innovative solutions. Demonstrated expertise in managing complex services and mentoring engineering teams while driving architectural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EKS, DynamoDB,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Regulatory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CFTC, NFA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low-latency trading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exceeding performance benchmarks with cutting-edge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trading operations,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high-efficiency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compliance advisors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CFTC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regulatory compliance modules, ensuring all pre-trade and post-trade checks were automated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times and application resilience through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Order Management System (OMS)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capable of handling millions of transactions per second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event-driven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code quality and deployment consistency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development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frontend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 setup across multiple AWS accounts for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strategies, optimizing the performance of UI components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applied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service architecture, leading to a 30%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to improve system functionality, harnessing existing APIs with minimal disruption to current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full support and maintenance of production-grade code, ensuring high reliability and resilient system operations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back office reporting tools by developing reconciliation services that communicate with centralized systems through secure channels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core backend services, detailing architectural designs and compliance standards to ease onboarding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components for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financial services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regulatory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robust backend services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with a heavy emphasis on RESTful API integrations with frontend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high availability through proper indexing and optimization, facilitating rapid data access for trading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errors and improving rollback capabilities during production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microservices-based application development, improving isolation and efficiency of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code reviews, providing constructive feedback focused on architectural best practices and performance improvements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Service-Oriented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authentication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sensitive financial transactions and user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knowledge sharing within the team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workshops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service architecture and developing compliant payment processing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data-driven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 to improve performance metrics on customer engagement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API endpoints that severe customer-facing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detailing the integration of various SDKs and APIs that improves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and conducted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smooth transaction flows and compliance with financial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legacy systems to modern architectures, emphasizing scalability and optimizing application performance on the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error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management, enhancing system observability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optimize API consumption for better user experience, employing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fetching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