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Backend Engineer with over 8 years of extensive experience in building scalable backend architectures, API integrations, and data orchestration pipelines. Adept at leading engineering initiatives that drive product alignments and deliver high-value solutions. Passionate about leveraging cutting-edge technologies to improve user experiences and data processing capabilities in educational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Airflow, React, Remix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DuckDB,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CodeDeploy,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Spark, Kafka, Polars, Dagster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Sentry,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Celery, DRF,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Observability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FiveTran, Talend, Airbyte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Design/Documentation: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OpenAPI, Swagger, API Versioning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and implementation of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backend systems for high-user-traffic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orchestration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for terabytes of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quality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engineering rigor by introducing modern design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data governance practices,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compliance and security protocols in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by refactoring SQL queries and enhancing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 schemas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load times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high degree of quality with emphasis on reliability and observability in production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with asynchronous messaging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background jobs, effectively scaling our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fostering a smoother development workflow and quicker feature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streaming, leading to an enhanced data pipeline performance and facilitating seamless data integration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enforcing best practices in branching, merging, and continuous integration to streamline collaborative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OpenAPI standards, improving developer experience and easing integration processes for external partners.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data integration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FiveTran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Airbyte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ingestion from various sources into our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to support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multi-tenant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resource utilization and user isolation while maintaining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cloud deployment strategies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costs while ensuring application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backend performance by designing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managing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engineering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processes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and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translate user needs into technical specifications, resulting in the deployment of user-friendly integration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SQL performance tuning and optimization, enhancing query execution times in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robust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real-time application performance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workflows and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processes and minimize manual interventions in deployment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engineers, fostering a culture of continuous learning and improvement in software engineering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security authentication and authorization frameworks,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secured API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data-centric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manipulations and reporting, ensuring data integrity and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deployment times and improved release confidence in software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tested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events sourcing applications effectively, processing high volumes of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conducted code reviews to ensure high standards of coding practices and maintainability of the codebase,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version control.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