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Senior-level engineer with extensive experience in AI strategy, cloud computing, and data platform implementations. Proven track record of leading AI strategy engagements and driving customer success in the IT consulting sector. Skilled in translating technical solutions into business outcomes and engaging C-suite stakeholders to facilitate AI-driven transformation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Snowflake,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Governance, Data Pipeline Development, Data Warehouse Architecture, Data Quality Assurance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Tools:</w:t>
      </w:r>
      <w:r w:rsidRPr="00C3688B">
        <w:rPr>
          <w:rFonts w:ascii="Arial" w:hAnsi="Arial" w:cs="Arial"/>
          <w:color w:val="424242" w:themeColor="text1" w:themeShade="BF"/>
          <w:sz w:val="20"/>
          <w:szCs w:val="20"/>
        </w:rPr>
        <w:t xml:space="preserve"> TensorFlow, PyTorch, Scikit-Learn,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Strategy and Frameworks:</w:t>
      </w:r>
      <w:r w:rsidRPr="00C3688B">
        <w:rPr>
          <w:rFonts w:ascii="Arial" w:hAnsi="Arial" w:cs="Arial"/>
          <w:color w:val="424242" w:themeColor="text1" w:themeShade="BF"/>
          <w:sz w:val="20"/>
          <w:szCs w:val="20"/>
        </w:rPr>
        <w:t xml:space="preserve"> AI Governance, Change Management, Due Diligence, Technology Rationalization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Consulting and Leadership:</w:t>
      </w:r>
      <w:r w:rsidRPr="00C3688B">
        <w:rPr>
          <w:rFonts w:ascii="Arial" w:hAnsi="Arial" w:cs="Arial"/>
          <w:color w:val="424242" w:themeColor="text1" w:themeShade="BF"/>
          <w:sz w:val="20"/>
          <w:szCs w:val="20"/>
        </w:rPr>
        <w:t xml:space="preserve"> Stakeholder Engagement, Strategic Recommendations, Roadmapping, Business Case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CI/CD:</w:t>
      </w:r>
      <w:r w:rsidRPr="00C3688B">
        <w:rPr>
          <w:rFonts w:ascii="Arial" w:hAnsi="Arial" w:cs="Arial"/>
          <w:color w:val="424242" w:themeColor="text1" w:themeShade="BF"/>
          <w:sz w:val="20"/>
          <w:szCs w:val="20"/>
        </w:rPr>
        <w:t xml:space="preserve"> Terraform, Kubernetes, Jenkins,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AI strategy roadmaps for enterprise clients,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robust machine learning solutions that optimized business processes and improved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ETL processes for data ingestion from various sources, enhancing data accessibility and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the deployment of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warehouses, ensuring scalable architecture for real-time analytics and reducing query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with C-suite executives to align AI capabilities with business objectives, utilizing frameworks for AI governance and risk management to ensure compliance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predict customer behavior, resulting in a 25% increase in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application deployments, significantly reducing the time to 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w:t>
      </w:r>
      <w:r w:rsidRPr="00C3688B">
        <w:rPr>
          <w:rFonts w:ascii="Arial" w:hAnsi="Arial" w:cs="Arial"/>
          <w:b/>
          <w:color w:val="424242" w:themeColor="text1" w:themeShade="BF"/>
          <w:sz w:val="20"/>
          <w:szCs w:val="20"/>
        </w:rPr>
        <w:t xml:space="preserve">Fivetran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synchronization, reducing manual data entry and errors while improving data quality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business cases with ROI analyses for AI projects, guiding clients in prioritizing investments based on strategic value and operational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identifying opportunities for process automation with tools like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scripting solutions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discovery sessions that leveraged vertical expertise in industries such as Financial Services and Healthcare, informing strategic recommendations and ensuring alignment with client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intellectual property including best practice frameworks and accelerators focused on maximizing financial and operational outcomes through enhanced AI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teams on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containerized applications in cloud environments, improving development speed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initiatives for data observability, quality resolution, and lineage tracking, utilizing platforms like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data governance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Expanded consulting engagements by defining clear AI capabilities, assessing organizational change readiness, and aligning technical solutions with business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technology assessments to evaluate existing data infrastructures and recommend enhancements for </w:t>
      </w:r>
      <w:r w:rsidRPr="00C3688B">
        <w:rPr>
          <w:rFonts w:ascii="Arial" w:hAnsi="Arial" w:cs="Arial"/>
          <w:b/>
          <w:bCs/>
          <w:color w:val="424242" w:themeColor="text1" w:themeShade="BF"/>
          <w:sz w:val="20"/>
        </w:rPr>
        <w:t xml:space="preserve">Data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achieving significant cost reductions in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multi-disciplinary teams to deliver client-facing AI solutions,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Databricks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processing large datasets efficiently within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algorithms for data analysis in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insights that directly informed marketing and product development strategies across multiple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workshops to develop machine learning prototypes using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showcasing potential use cases and driving buy-in from stakeholder groups.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clients on the best practices for deploying </w:t>
      </w:r>
      <w:r w:rsidRPr="00C3688B">
        <w:rPr>
          <w:rFonts w:ascii="Arial" w:hAnsi="Arial" w:cs="Arial"/>
          <w:b/>
          <w:bCs/>
          <w:color w:val="424242" w:themeColor="text1" w:themeShade="BF"/>
          <w:sz w:val="20"/>
        </w:rPr>
        <w:t xml:space="preserve">AI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production, ensuring scalable and reliable operations with emphasis on observability and ML governance.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competitor analysis and SWOT assessments to guide clients in framing their AI strategy, turning findings into actionable insights for effective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clients to integrate innovative digital solutions into their AI strategy, yielding greater customer satisfaction and business agility.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analyzing large datasets, enabling clients to gain actionable insights that enhanced their market competitiveness.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integrations for cloud applications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flow of data across enterprise systems and improving information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lifecycle project management,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roadblocks, ensuring on-time delivery of strategic technology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technology foresight analyses, aligning client capabilities with emerging trends in </w:t>
      </w:r>
      <w:r w:rsidRPr="00C3688B">
        <w:rPr>
          <w:rFonts w:ascii="Arial" w:hAnsi="Arial" w:cs="Arial"/>
          <w:b/>
          <w:bCs/>
          <w:color w:val="424242" w:themeColor="text1" w:themeShade="BF"/>
          <w:sz w:val="20"/>
        </w:rPr>
        <w:t xml:space="preserve">AI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ethics, enhancing their strategic positioning in the 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execution of data-driven projects by leveraging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analytics, leading to actionable insights that enhanced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ensure the successful delivery of enterprise-level projects, focusing on regulatory compliance and best practices in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communicated technical concepts to non-technical stakeholders, translating complex data strategies into clear business outcomes and ensuring alignment on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project continuity and knowledge transfer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change management programs to address gaps in organizational readiness for AI implementation, bolstering client confidence in adopting cutting-edge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